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B0B93" w14:textId="34BAECBD" w:rsidR="00880F71" w:rsidRPr="00AB4094" w:rsidRDefault="00880F71" w:rsidP="00AB4094">
      <w:pPr>
        <w:pStyle w:val="Title"/>
        <w:jc w:val="center"/>
        <w:rPr>
          <w:rFonts w:ascii="Arial" w:hAnsi="Arial" w:cs="Arial"/>
          <w:color w:val="7030A0"/>
          <w:sz w:val="44"/>
          <w:szCs w:val="44"/>
        </w:rPr>
      </w:pPr>
      <w:bookmarkStart w:id="0" w:name="h.5qt4sjol6u45" w:colFirst="0" w:colLast="0"/>
      <w:bookmarkStart w:id="1" w:name="h5qt4sjol6u45"/>
      <w:bookmarkEnd w:id="0"/>
      <w:r w:rsidRPr="00AB4094">
        <w:rPr>
          <w:rFonts w:ascii="Arial" w:hAnsi="Arial" w:cs="Arial"/>
          <w:color w:val="7030A0"/>
          <w:sz w:val="44"/>
          <w:szCs w:val="44"/>
        </w:rPr>
        <w:t>Mid-Career Mentoring</w:t>
      </w:r>
    </w:p>
    <w:p w14:paraId="33472C24" w14:textId="080C8DE5" w:rsidR="00931BF0" w:rsidRPr="00AB4094" w:rsidRDefault="00880F71" w:rsidP="00AB4094">
      <w:pPr>
        <w:pStyle w:val="Subtitle"/>
        <w:spacing w:line="240" w:lineRule="auto"/>
        <w:contextualSpacing w:val="0"/>
        <w:rPr>
          <w:sz w:val="32"/>
          <w:szCs w:val="32"/>
        </w:rPr>
      </w:pPr>
      <w:bookmarkStart w:id="2" w:name="h.9h1zm0kegktg" w:colFirst="0" w:colLast="0"/>
      <w:bookmarkEnd w:id="2"/>
      <w:proofErr w:type="spellStart"/>
      <w:r w:rsidRPr="00AB4094">
        <w:rPr>
          <w:rFonts w:ascii="Arial" w:hAnsi="Arial" w:cs="Arial"/>
          <w:sz w:val="32"/>
          <w:szCs w:val="32"/>
        </w:rPr>
        <w:t>LiY</w:t>
      </w:r>
      <w:proofErr w:type="spellEnd"/>
      <w:r w:rsidRPr="00AB4094">
        <w:rPr>
          <w:rFonts w:ascii="Arial" w:hAnsi="Arial" w:cs="Arial"/>
          <w:sz w:val="32"/>
          <w:szCs w:val="32"/>
        </w:rPr>
        <w:t>! Primer</w:t>
      </w:r>
      <w:bookmarkEnd w:id="1"/>
    </w:p>
    <w:p w14:paraId="284394C2" w14:textId="5BC9E6B6" w:rsidR="002B09AE" w:rsidRPr="00AB4094" w:rsidRDefault="007D79F4" w:rsidP="00AB4094">
      <w:pPr>
        <w:pStyle w:val="NoSpacing"/>
        <w:jc w:val="center"/>
        <w:rPr>
          <w:rFonts w:ascii="Arial" w:hAnsi="Arial" w:cs="Arial"/>
          <w:i/>
          <w:color w:val="92D050"/>
          <w:sz w:val="28"/>
          <w:szCs w:val="28"/>
        </w:rPr>
      </w:pPr>
      <w:bookmarkStart w:id="3" w:name="h7hhil4hvw9ox"/>
      <w:r w:rsidRPr="00AB4094">
        <w:rPr>
          <w:rFonts w:ascii="Arial" w:hAnsi="Arial" w:cs="Arial"/>
          <w:i/>
          <w:color w:val="92D050"/>
          <w:sz w:val="28"/>
          <w:szCs w:val="28"/>
        </w:rPr>
        <w:t>“Nationwide, over half of higher education faculty are at mid-career. … Ensuring their vitality and continued engagement is critical if colleges and universities are to fulfill their missions, but this swath of faculty rarely receive adequate support or recognition from their institutions.”</w:t>
      </w:r>
      <w:r w:rsidR="00A00820">
        <w:rPr>
          <w:rFonts w:ascii="Arial" w:hAnsi="Arial" w:cs="Arial"/>
          <w:i/>
          <w:color w:val="92D050"/>
          <w:sz w:val="28"/>
          <w:szCs w:val="28"/>
        </w:rPr>
        <w:t xml:space="preserve"> (</w:t>
      </w:r>
      <w:proofErr w:type="spellStart"/>
      <w:r w:rsidR="00A00820" w:rsidRPr="00AB4094">
        <w:rPr>
          <w:rFonts w:ascii="Arial" w:hAnsi="Arial" w:cs="Arial"/>
          <w:i/>
          <w:color w:val="92D050"/>
          <w:sz w:val="28"/>
          <w:szCs w:val="28"/>
        </w:rPr>
        <w:t>Strage</w:t>
      </w:r>
      <w:proofErr w:type="spellEnd"/>
      <w:r w:rsidR="00A00820" w:rsidRPr="00AB4094">
        <w:rPr>
          <w:rFonts w:ascii="Arial" w:hAnsi="Arial" w:cs="Arial"/>
          <w:i/>
          <w:color w:val="92D050"/>
          <w:sz w:val="28"/>
          <w:szCs w:val="28"/>
        </w:rPr>
        <w:t xml:space="preserve"> &amp; </w:t>
      </w:r>
      <w:proofErr w:type="spellStart"/>
      <w:r w:rsidR="00A00820" w:rsidRPr="00AB4094">
        <w:rPr>
          <w:rFonts w:ascii="Arial" w:hAnsi="Arial" w:cs="Arial"/>
          <w:i/>
          <w:color w:val="92D050"/>
          <w:sz w:val="28"/>
          <w:szCs w:val="28"/>
        </w:rPr>
        <w:t>Merdinger</w:t>
      </w:r>
      <w:proofErr w:type="spellEnd"/>
      <w:r w:rsidR="00A00820" w:rsidRPr="00AB4094">
        <w:rPr>
          <w:rFonts w:ascii="Arial" w:hAnsi="Arial" w:cs="Arial"/>
          <w:i/>
          <w:color w:val="92D050"/>
          <w:sz w:val="28"/>
          <w:szCs w:val="28"/>
        </w:rPr>
        <w:t>, 2015)</w:t>
      </w:r>
    </w:p>
    <w:p w14:paraId="074BF53B" w14:textId="77777777" w:rsidR="003F30B8" w:rsidRDefault="003F30B8" w:rsidP="003F30B8">
      <w:pPr>
        <w:rPr>
          <w:i/>
        </w:rPr>
      </w:pPr>
      <w:bookmarkStart w:id="4" w:name="_Hlk492557260"/>
      <w:bookmarkEnd w:id="3"/>
    </w:p>
    <w:p w14:paraId="10843FDB" w14:textId="08C975D7" w:rsidR="003F30B8" w:rsidRPr="003F30B8" w:rsidRDefault="003F30B8" w:rsidP="003F30B8">
      <w:pPr>
        <w:rPr>
          <w:rStyle w:val="NoneA"/>
          <w:rFonts w:ascii="Georgia" w:hAnsi="Georgia"/>
          <w:i/>
          <w:sz w:val="22"/>
          <w:szCs w:val="22"/>
        </w:rPr>
      </w:pPr>
      <w:r>
        <w:rPr>
          <w:rFonts w:ascii="Georgia" w:hAnsi="Georgia"/>
          <w:i/>
          <w:sz w:val="22"/>
          <w:szCs w:val="22"/>
        </w:rPr>
        <w:t>Mid-career faculty account for the majority of faculty on campuses. Yet professional development and support for mid-career faculty is often overlooked. Moreover, w</w:t>
      </w:r>
      <w:r w:rsidRPr="003F30B8">
        <w:rPr>
          <w:rFonts w:ascii="Georgia" w:hAnsi="Georgia"/>
          <w:i/>
          <w:sz w:val="22"/>
          <w:szCs w:val="22"/>
        </w:rPr>
        <w:t xml:space="preserve">omen and underrepresented minority (URM) faculty </w:t>
      </w:r>
      <w:r>
        <w:rPr>
          <w:rFonts w:ascii="Georgia" w:hAnsi="Georgia"/>
          <w:i/>
          <w:sz w:val="22"/>
          <w:szCs w:val="22"/>
        </w:rPr>
        <w:t xml:space="preserve">can be especially vulnerable to mid-career challenges. Intentionally mentoring mid-career faculty can promote their continued success and </w:t>
      </w:r>
      <w:r w:rsidR="007F2C9C">
        <w:rPr>
          <w:rFonts w:ascii="Georgia" w:hAnsi="Georgia"/>
          <w:i/>
          <w:sz w:val="22"/>
          <w:szCs w:val="22"/>
        </w:rPr>
        <w:t xml:space="preserve">engage them as future leaders in higher education. </w:t>
      </w:r>
    </w:p>
    <w:p w14:paraId="4E648089" w14:textId="1778CE04" w:rsidR="00123013" w:rsidRPr="00123013" w:rsidRDefault="007D79F4" w:rsidP="00AB4094">
      <w:pPr>
        <w:pStyle w:val="Heading2"/>
        <w:keepLines/>
        <w:spacing w:before="200"/>
      </w:pPr>
      <w:r>
        <w:rPr>
          <w:rStyle w:val="NoneA"/>
          <w:rFonts w:ascii="Arial" w:hAnsi="Arial"/>
          <w:color w:val="652C90"/>
          <w:sz w:val="28"/>
          <w:szCs w:val="28"/>
          <w:u w:color="652C90"/>
          <w:lang w:val="nl-NL"/>
        </w:rPr>
        <w:t>Mid-Career Challenges</w:t>
      </w:r>
      <w:r w:rsidR="006113B7">
        <w:rPr>
          <w:rStyle w:val="NoneA"/>
          <w:rFonts w:ascii="Arial" w:hAnsi="Arial"/>
          <w:color w:val="652C90"/>
          <w:sz w:val="28"/>
          <w:szCs w:val="28"/>
          <w:u w:color="652C90"/>
          <w:lang w:val="nl-NL"/>
        </w:rPr>
        <w:t xml:space="preserve"> </w:t>
      </w:r>
      <w:bookmarkEnd w:id="4"/>
    </w:p>
    <w:p w14:paraId="55E3D952" w14:textId="1C6188C8" w:rsidR="00337A0A" w:rsidRDefault="007D79F4" w:rsidP="00701131">
      <w:pPr>
        <w:pStyle w:val="BodyA"/>
        <w:numPr>
          <w:ilvl w:val="0"/>
          <w:numId w:val="6"/>
        </w:numPr>
        <w:ind w:left="360"/>
        <w:rPr>
          <w:rStyle w:val="NoneA"/>
          <w:rFonts w:ascii="Georgia" w:hAnsi="Georgia"/>
          <w:color w:val="434343"/>
          <w:u w:color="434343"/>
        </w:rPr>
      </w:pPr>
      <w:r>
        <w:rPr>
          <w:rStyle w:val="NoneA"/>
          <w:rFonts w:ascii="Georgia" w:hAnsi="Georgia"/>
          <w:color w:val="434343"/>
          <w:u w:color="434343"/>
        </w:rPr>
        <w:t>Faculty at mid-career are faced with the challenge of balancing increasing service loads</w:t>
      </w:r>
      <w:r w:rsidR="00AC1914">
        <w:rPr>
          <w:rStyle w:val="NoneA"/>
          <w:rFonts w:ascii="Georgia" w:hAnsi="Georgia"/>
          <w:color w:val="434343"/>
          <w:u w:color="434343"/>
        </w:rPr>
        <w:t xml:space="preserve"> </w:t>
      </w:r>
      <w:r w:rsidR="00A47637">
        <w:rPr>
          <w:rStyle w:val="NoneA"/>
          <w:rFonts w:ascii="Georgia" w:hAnsi="Georgia"/>
          <w:color w:val="434343"/>
          <w:u w:color="434343"/>
        </w:rPr>
        <w:t xml:space="preserve">while </w:t>
      </w:r>
      <w:r w:rsidR="00AC1914">
        <w:rPr>
          <w:rStyle w:val="NoneA"/>
          <w:rFonts w:ascii="Georgia" w:hAnsi="Georgia"/>
          <w:color w:val="434343"/>
          <w:u w:color="434343"/>
        </w:rPr>
        <w:t>remaining innovative,</w:t>
      </w:r>
      <w:r w:rsidR="001A7CD6">
        <w:rPr>
          <w:rStyle w:val="NoneA"/>
          <w:rFonts w:ascii="Georgia" w:hAnsi="Georgia"/>
          <w:color w:val="434343"/>
          <w:u w:color="434343"/>
        </w:rPr>
        <w:t xml:space="preserve"> active in research</w:t>
      </w:r>
      <w:r w:rsidR="0065707B">
        <w:rPr>
          <w:rStyle w:val="NoneA"/>
          <w:rFonts w:ascii="Georgia" w:hAnsi="Georgia"/>
          <w:color w:val="434343"/>
          <w:u w:color="434343"/>
        </w:rPr>
        <w:t>,</w:t>
      </w:r>
      <w:r w:rsidR="001A7CD6">
        <w:rPr>
          <w:rStyle w:val="NoneA"/>
          <w:rFonts w:ascii="Georgia" w:hAnsi="Georgia"/>
          <w:color w:val="434343"/>
          <w:u w:color="434343"/>
        </w:rPr>
        <w:t xml:space="preserve"> and fund</w:t>
      </w:r>
      <w:r w:rsidR="00337A0A">
        <w:rPr>
          <w:rStyle w:val="NoneA"/>
          <w:rFonts w:ascii="Georgia" w:hAnsi="Georgia"/>
          <w:color w:val="434343"/>
          <w:u w:color="434343"/>
        </w:rPr>
        <w:t>ed</w:t>
      </w:r>
      <w:r>
        <w:rPr>
          <w:rStyle w:val="NoneA"/>
          <w:rFonts w:ascii="Georgia" w:hAnsi="Georgia"/>
          <w:color w:val="434343"/>
          <w:u w:color="434343"/>
        </w:rPr>
        <w:t>.</w:t>
      </w:r>
      <w:r w:rsidR="006113B7">
        <w:rPr>
          <w:rStyle w:val="NoneA"/>
          <w:rFonts w:ascii="Georgia" w:hAnsi="Georgia"/>
          <w:color w:val="434343"/>
          <w:u w:color="434343"/>
        </w:rPr>
        <w:t xml:space="preserve"> </w:t>
      </w:r>
    </w:p>
    <w:p w14:paraId="3F7738E6" w14:textId="77777777" w:rsidR="00337A0A" w:rsidRDefault="007D79F4" w:rsidP="00701131">
      <w:pPr>
        <w:pStyle w:val="BodyA"/>
        <w:numPr>
          <w:ilvl w:val="0"/>
          <w:numId w:val="6"/>
        </w:numPr>
        <w:ind w:left="360"/>
        <w:rPr>
          <w:rStyle w:val="NoneA"/>
          <w:rFonts w:ascii="Georgia" w:hAnsi="Georgia"/>
          <w:color w:val="434343"/>
          <w:u w:color="434343"/>
        </w:rPr>
      </w:pPr>
      <w:r>
        <w:rPr>
          <w:rStyle w:val="NoneA"/>
          <w:rFonts w:ascii="Georgia" w:hAnsi="Georgia"/>
          <w:color w:val="434343"/>
          <w:u w:color="434343"/>
        </w:rPr>
        <w:t xml:space="preserve">Faculty at this stage often complain of undue pressure, </w:t>
      </w:r>
      <w:r w:rsidR="00937BF5">
        <w:rPr>
          <w:rStyle w:val="NoneA"/>
          <w:rFonts w:ascii="Georgia" w:hAnsi="Georgia"/>
          <w:color w:val="434343"/>
          <w:u w:color="434343"/>
        </w:rPr>
        <w:t>diminished</w:t>
      </w:r>
      <w:r>
        <w:rPr>
          <w:rStyle w:val="NoneA"/>
          <w:rFonts w:ascii="Georgia" w:hAnsi="Georgia"/>
          <w:color w:val="434343"/>
          <w:u w:color="434343"/>
        </w:rPr>
        <w:t xml:space="preserve"> motivation, and lack of clear guidelines regarding how to achieve promotion</w:t>
      </w:r>
      <w:r w:rsidR="00937BF5">
        <w:rPr>
          <w:rStyle w:val="NoneA"/>
          <w:rFonts w:ascii="Georgia" w:hAnsi="Georgia"/>
          <w:color w:val="434343"/>
          <w:u w:color="434343"/>
        </w:rPr>
        <w:t xml:space="preserve">. </w:t>
      </w:r>
    </w:p>
    <w:p w14:paraId="57C2FA9A" w14:textId="4F171E5D" w:rsidR="00337A0A" w:rsidRPr="00123013" w:rsidRDefault="00937BF5" w:rsidP="00701131">
      <w:pPr>
        <w:pStyle w:val="BodyA"/>
        <w:numPr>
          <w:ilvl w:val="0"/>
          <w:numId w:val="6"/>
        </w:numPr>
        <w:ind w:left="360"/>
        <w:rPr>
          <w:rStyle w:val="NoneA"/>
          <w:rFonts w:ascii="Georgia" w:eastAsia="Georgia" w:hAnsi="Georgia" w:cs="Georgia"/>
          <w:color w:val="434343"/>
        </w:rPr>
      </w:pPr>
      <w:r>
        <w:rPr>
          <w:rStyle w:val="NoneA"/>
          <w:rFonts w:ascii="Georgia" w:hAnsi="Georgia"/>
          <w:color w:val="434343"/>
          <w:u w:color="434343"/>
        </w:rPr>
        <w:t>Supports and incentives frequently target pre-</w:t>
      </w:r>
      <w:r w:rsidR="0081002B">
        <w:rPr>
          <w:rStyle w:val="NoneA"/>
          <w:rFonts w:ascii="Georgia" w:hAnsi="Georgia"/>
          <w:color w:val="434343"/>
          <w:u w:color="434343"/>
        </w:rPr>
        <w:t>tenured</w:t>
      </w:r>
      <w:r>
        <w:rPr>
          <w:rStyle w:val="NoneA"/>
          <w:rFonts w:ascii="Georgia" w:hAnsi="Georgia"/>
          <w:color w:val="434343"/>
          <w:u w:color="434343"/>
        </w:rPr>
        <w:t xml:space="preserve"> faculty or faculty nearing </w:t>
      </w:r>
      <w:r w:rsidRPr="00AB4094">
        <w:rPr>
          <w:rStyle w:val="NoneA"/>
          <w:rFonts w:ascii="Georgia" w:hAnsi="Georgia"/>
          <w:color w:val="000000" w:themeColor="text1"/>
          <w:u w:color="434343"/>
        </w:rPr>
        <w:t>retirement</w:t>
      </w:r>
      <w:r w:rsidR="00284009">
        <w:rPr>
          <w:rStyle w:val="NoneA"/>
          <w:rFonts w:ascii="Georgia" w:hAnsi="Georgia"/>
          <w:color w:val="000000" w:themeColor="text1"/>
          <w:u w:color="434343"/>
        </w:rPr>
        <w:t>,</w:t>
      </w:r>
      <w:r w:rsidR="00243101" w:rsidRPr="00A072C2">
        <w:rPr>
          <w:rStyle w:val="NoneA"/>
          <w:rFonts w:ascii="Georgia" w:hAnsi="Georgia"/>
          <w:noProof/>
          <w:color w:val="434343"/>
          <w:u w:color="434343"/>
        </w:rPr>
        <w:fldChar w:fldCharType="begin" w:fldLock="1"/>
      </w:r>
      <w:r w:rsidR="00A072C2">
        <w:rPr>
          <w:rStyle w:val="NoneA"/>
          <w:rFonts w:ascii="Georgia" w:hAnsi="Georgia"/>
          <w:noProof/>
          <w:color w:val="434343"/>
          <w:u w:color="434343"/>
        </w:rPr>
        <w:instrText>ADDIN CSL_CITATION { "citationItems" : [ { "id" : "ITEM-1", "itemData" : { "abstract" : "Nationwide, over half of higher education faculty are mid-career. While they play vital roles sustaining their institutions, relatively little systematic attention has been paid to meeting their particular needs. This paper describes a professional renewal retreat program tailored to this \u201ckeystone\u201d group of faculty (Chang, 2006). It is grounded in the theoretical constructs of \u201cgenerativity\u201d (vs. \u201cstagnation\u201d) (Erikson, 1964/1993), of \u201cagentic\u201d and \u201ccommunion-oriented\u201d senses of self (Bakan, 1964, Grossbaum &amp; Bates, 2002), and of \u201cgrowth\u201d or \u201cmastery\u201d (vs. \u201cfixed\u201d) mindsets (Dweck, 2006). Detailed analyses of reflections of 47 retreat participants before, during and after the program are presented and discussed.", "author" : [ { "dropping-particle" : "", "family" : "Strage", "given" : "Amy", "non-dropping-particle" : "", "parse-names" : false, "suffix" : "" }, { "dropping-particle" : "", "family" : "Merdinger", "given" : "Joan", "non-dropping-particle" : "", "parse-names" : false, "suffix" : "" } ], "container-title" : "The Journal of Faculty Development", "id" : "ITEM-1", "issue" : "1", "issued" : { "date-parts" : [ [ "2015" ] ] }, "page" : "41-50", "publisher" : "New Forums Press", "title" : "Professional Growth and Renewal for Mid-Career Faculty", "type" : "article-journal", "volume" : "29" }, "uris" : [ "http://www.mendeley.com/documents/?uuid=83ae8589-7c73-3d6d-a191-933e6d37de94", "http://www.mendeley.com/documents/?uuid=e102f83d-79c0-479d-8496-ad33a3d2aef8" ] } ], "mendeley" : { "formattedCitation" : "&lt;sup&gt;1&lt;/sup&gt;", "plainTextFormattedCitation" : "1", "previouslyFormattedCitation" : "[1]" }, "properties" : { "noteIndex" : 0 }, "schema" : "https://github.com/citation-style-language/schema/raw/master/csl-citation.json" }</w:instrText>
      </w:r>
      <w:r w:rsidR="00243101" w:rsidRPr="00A072C2">
        <w:rPr>
          <w:rStyle w:val="NoneA"/>
          <w:rFonts w:ascii="Georgia" w:hAnsi="Georgia"/>
          <w:noProof/>
          <w:color w:val="434343"/>
          <w:u w:color="434343"/>
        </w:rPr>
        <w:fldChar w:fldCharType="separate"/>
      </w:r>
      <w:r w:rsidR="00A072C2" w:rsidRPr="00A072C2">
        <w:rPr>
          <w:rStyle w:val="NoneA"/>
          <w:rFonts w:ascii="Georgia" w:hAnsi="Georgia"/>
          <w:noProof/>
          <w:color w:val="434343"/>
          <w:u w:color="434343"/>
          <w:vertAlign w:val="superscript"/>
        </w:rPr>
        <w:t>1</w:t>
      </w:r>
      <w:r w:rsidR="00243101" w:rsidRPr="00A072C2">
        <w:rPr>
          <w:rStyle w:val="NoneA"/>
          <w:rFonts w:ascii="Georgia" w:hAnsi="Georgia"/>
          <w:noProof/>
          <w:color w:val="434343"/>
          <w:u w:color="434343"/>
        </w:rPr>
        <w:fldChar w:fldCharType="end"/>
      </w:r>
      <w:r w:rsidR="00337A0A" w:rsidRPr="00AB4094">
        <w:rPr>
          <w:rStyle w:val="NoneA"/>
          <w:rFonts w:ascii="Georgia" w:hAnsi="Georgia"/>
          <w:noProof/>
          <w:color w:val="000000" w:themeColor="text1"/>
          <w:u w:color="434343"/>
        </w:rPr>
        <w:t xml:space="preserve"> </w:t>
      </w:r>
      <w:r w:rsidR="00337A0A">
        <w:rPr>
          <w:rStyle w:val="NoneA"/>
          <w:rFonts w:ascii="Georgia" w:hAnsi="Georgia"/>
          <w:noProof/>
          <w:color w:val="434343"/>
          <w:u w:color="434343"/>
        </w:rPr>
        <w:t xml:space="preserve">leaving </w:t>
      </w:r>
      <w:r w:rsidR="00337A0A" w:rsidRPr="00123013">
        <w:rPr>
          <w:rStyle w:val="NoneA"/>
          <w:rFonts w:ascii="Georgia" w:hAnsi="Georgia"/>
          <w:color w:val="434343"/>
          <w:u w:color="434343"/>
        </w:rPr>
        <w:t xml:space="preserve">mid-career faculty </w:t>
      </w:r>
      <w:r w:rsidR="00337A0A">
        <w:rPr>
          <w:rStyle w:val="NoneA"/>
          <w:rFonts w:ascii="Georgia" w:hAnsi="Georgia"/>
          <w:color w:val="434343"/>
          <w:u w:color="434343"/>
        </w:rPr>
        <w:t>with</w:t>
      </w:r>
      <w:r w:rsidR="00337A0A" w:rsidRPr="00123013">
        <w:rPr>
          <w:rStyle w:val="NoneA"/>
          <w:rFonts w:ascii="Georgia" w:hAnsi="Georgia"/>
          <w:color w:val="434343"/>
          <w:u w:color="434343"/>
        </w:rPr>
        <w:t xml:space="preserve"> diminished access to professional development </w:t>
      </w:r>
      <w:r w:rsidR="00337A0A">
        <w:rPr>
          <w:rStyle w:val="NoneA"/>
          <w:rFonts w:ascii="Georgia" w:hAnsi="Georgia"/>
          <w:color w:val="434343"/>
          <w:u w:color="434343"/>
        </w:rPr>
        <w:t>and institutional or departmental support when it comes to career advancement</w:t>
      </w:r>
      <w:r w:rsidR="00284009">
        <w:rPr>
          <w:rStyle w:val="NoneA"/>
          <w:rFonts w:ascii="Georgia" w:hAnsi="Georgia"/>
          <w:color w:val="434343"/>
          <w:u w:color="434343"/>
        </w:rPr>
        <w:t>.</w:t>
      </w:r>
      <w:r w:rsidR="00337A0A" w:rsidRPr="00123013">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"author" : [ { "dropping-particle" : "", "family" : "Notkin", "given" : "David", "non-dropping-particle" : "", "parse-names" : false, "suffix" : "" } ], "container-title" : "ADVANCE National Leadership Workshop", "id" : "ITEM-1", "issued" : { "date-parts" : [ [ "2005" ] ] }, "title" : "Faculty Mentoring", "type" : "paper-conference" }, "uris" : [ "http://www.mendeley.com/documents/?uuid=e6fbcf23-2bb4-32d9-aa7f-1f0bc6dc6082" ] } ], "mendeley" : { "formattedCitation" : "&lt;sup&gt;2&lt;/sup&gt;", "plainTextFormattedCitation" : "2", "previouslyFormattedCitation" : "[2]" }, "properties" : { "noteIndex" : 0 }, "schema" : "https://github.com/citation-style-language/schema/raw/master/csl-citation.json" }</w:instrText>
      </w:r>
      <w:r w:rsidR="00337A0A" w:rsidRPr="00123013">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2</w:t>
      </w:r>
      <w:r w:rsidR="00337A0A" w:rsidRPr="00123013">
        <w:rPr>
          <w:rStyle w:val="NoneA"/>
          <w:rFonts w:ascii="Georgia" w:hAnsi="Georgia"/>
          <w:color w:val="434343"/>
          <w:u w:color="434343"/>
        </w:rPr>
        <w:fldChar w:fldCharType="end"/>
      </w:r>
      <w:r w:rsidR="00284009">
        <w:rPr>
          <w:rStyle w:val="NoneA"/>
          <w:rFonts w:ascii="Georgia" w:hAnsi="Georgia"/>
          <w:color w:val="434343"/>
          <w:u w:color="434343"/>
        </w:rPr>
        <w:t xml:space="preserve"> </w:t>
      </w:r>
      <w:r w:rsidR="00337A0A" w:rsidRPr="00123013">
        <w:rPr>
          <w:rStyle w:val="NoneA"/>
          <w:rFonts w:ascii="Georgia" w:hAnsi="Georgia"/>
          <w:color w:val="434343"/>
          <w:u w:color="434343"/>
        </w:rPr>
        <w:t xml:space="preserve">This </w:t>
      </w:r>
      <w:r w:rsidR="0065707B">
        <w:rPr>
          <w:rStyle w:val="NoneA"/>
          <w:rFonts w:ascii="Georgia" w:hAnsi="Georgia"/>
          <w:color w:val="434343"/>
          <w:u w:color="434343"/>
        </w:rPr>
        <w:t xml:space="preserve">can </w:t>
      </w:r>
      <w:r w:rsidR="00337A0A" w:rsidRPr="00123013">
        <w:rPr>
          <w:rStyle w:val="NoneA"/>
          <w:rFonts w:ascii="Georgia" w:hAnsi="Georgia"/>
          <w:color w:val="434343"/>
          <w:u w:color="434343"/>
        </w:rPr>
        <w:t xml:space="preserve">lead to burnout or </w:t>
      </w:r>
      <w:r w:rsidR="0065707B">
        <w:rPr>
          <w:rStyle w:val="NoneA"/>
          <w:rFonts w:ascii="Georgia" w:hAnsi="Georgia"/>
          <w:color w:val="434343"/>
          <w:u w:color="434343"/>
        </w:rPr>
        <w:t>a</w:t>
      </w:r>
      <w:r w:rsidR="0065707B" w:rsidRPr="00123013">
        <w:rPr>
          <w:rStyle w:val="NoneA"/>
          <w:rFonts w:ascii="Georgia" w:hAnsi="Georgia"/>
          <w:color w:val="434343"/>
          <w:u w:color="434343"/>
        </w:rPr>
        <w:t xml:space="preserve"> </w:t>
      </w:r>
      <w:r w:rsidR="00337A0A" w:rsidRPr="00123013">
        <w:rPr>
          <w:rStyle w:val="NoneA"/>
          <w:rFonts w:ascii="Georgia" w:hAnsi="Georgia"/>
          <w:color w:val="434343"/>
          <w:u w:color="434343"/>
        </w:rPr>
        <w:t>sense of stagnation</w:t>
      </w:r>
      <w:r w:rsidR="0029053D">
        <w:rPr>
          <w:rStyle w:val="NoneA"/>
          <w:rFonts w:ascii="Georgia" w:hAnsi="Georgia"/>
          <w:color w:val="434343"/>
          <w:u w:color="434343"/>
        </w:rPr>
        <w:t>.</w:t>
      </w:r>
      <w:r w:rsidR="00337A0A" w:rsidRPr="00123013">
        <w:rPr>
          <w:rStyle w:val="NoneA"/>
          <w:rFonts w:ascii="Georgia" w:hAnsi="Georgia"/>
          <w:color w:val="434343"/>
          <w:u w:color="434343"/>
        </w:rPr>
        <w:t xml:space="preserve"> </w:t>
      </w:r>
    </w:p>
    <w:p w14:paraId="4BAB0174" w14:textId="44F4A4FC" w:rsidR="00337A0A" w:rsidRPr="00C71B92" w:rsidRDefault="00337A0A" w:rsidP="00AB4094">
      <w:pPr>
        <w:pStyle w:val="Heading2"/>
        <w:keepLines/>
        <w:spacing w:before="200"/>
        <w:rPr>
          <w:b w:val="0"/>
          <w:bCs w:val="0"/>
        </w:rPr>
      </w:pPr>
      <w:r w:rsidRPr="00F44AC7">
        <w:rPr>
          <w:rStyle w:val="NoneA"/>
          <w:rFonts w:ascii="Arial" w:hAnsi="Arial"/>
          <w:color w:val="652C90"/>
          <w:sz w:val="28"/>
          <w:szCs w:val="28"/>
          <w:u w:color="652C90"/>
        </w:rPr>
        <w:t xml:space="preserve">Women and Underrepresented Minority Faculty </w:t>
      </w:r>
    </w:p>
    <w:p w14:paraId="76A0D5F5" w14:textId="2BF64E32" w:rsidR="00A72A3F" w:rsidRPr="00154754" w:rsidRDefault="007D79F4" w:rsidP="00701131">
      <w:pPr>
        <w:pStyle w:val="BodyA"/>
        <w:numPr>
          <w:ilvl w:val="0"/>
          <w:numId w:val="6"/>
        </w:numPr>
        <w:ind w:left="360"/>
        <w:rPr>
          <w:rStyle w:val="NoneA"/>
          <w:rFonts w:ascii="Georgia" w:eastAsia="Georgia" w:hAnsi="Georgia" w:cs="Georgia"/>
          <w:color w:val="434343"/>
        </w:rPr>
      </w:pPr>
      <w:r w:rsidRPr="00243101">
        <w:rPr>
          <w:rStyle w:val="NoneA"/>
          <w:rFonts w:ascii="Georgia" w:hAnsi="Georgia"/>
          <w:color w:val="434343"/>
          <w:u w:color="434343"/>
        </w:rPr>
        <w:t>Women and URM faculty can face isolation, tokenism, and margina</w:t>
      </w:r>
      <w:r w:rsidR="00764198">
        <w:rPr>
          <w:rStyle w:val="NoneA"/>
          <w:rFonts w:ascii="Georgia" w:hAnsi="Georgia"/>
          <w:color w:val="434343"/>
          <w:u w:color="434343"/>
        </w:rPr>
        <w:t>lization that delay or halt</w:t>
      </w:r>
      <w:r w:rsidRPr="00243101">
        <w:rPr>
          <w:rStyle w:val="NoneA"/>
          <w:rFonts w:ascii="Georgia" w:hAnsi="Georgia"/>
          <w:color w:val="434343"/>
          <w:u w:color="434343"/>
        </w:rPr>
        <w:t xml:space="preserve"> their career</w:t>
      </w:r>
      <w:r w:rsidR="00834262" w:rsidRPr="00243101">
        <w:rPr>
          <w:rStyle w:val="NoneA"/>
          <w:rFonts w:ascii="Georgia" w:hAnsi="Georgia"/>
          <w:color w:val="434343"/>
          <w:u w:color="434343"/>
        </w:rPr>
        <w:t xml:space="preserve"> progression</w:t>
      </w:r>
      <w:r w:rsidR="00243101" w:rsidRPr="00243101">
        <w:rPr>
          <w:rStyle w:val="NoneA"/>
          <w:rFonts w:ascii="Georgia" w:hAnsi="Georgia"/>
          <w:color w:val="434343"/>
          <w:u w:color="434343"/>
        </w:rPr>
        <w:t xml:space="preserve"> at </w:t>
      </w:r>
      <w:r w:rsidR="00337A0A">
        <w:rPr>
          <w:rStyle w:val="NoneA"/>
          <w:rFonts w:ascii="Georgia" w:hAnsi="Georgia"/>
          <w:color w:val="434343"/>
          <w:u w:color="434343"/>
        </w:rPr>
        <w:t>mid-career</w:t>
      </w:r>
      <w:r w:rsidR="00243101" w:rsidRPr="00243101">
        <w:rPr>
          <w:rStyle w:val="NoneA"/>
          <w:rFonts w:ascii="Georgia" w:hAnsi="Georgia"/>
          <w:color w:val="434343"/>
          <w:u w:color="434343"/>
        </w:rPr>
        <w:t xml:space="preserve">. </w:t>
      </w:r>
    </w:p>
    <w:p w14:paraId="24C86318" w14:textId="12A2DC2E" w:rsidR="00337A0A" w:rsidRPr="00337A0A" w:rsidRDefault="00C713EA" w:rsidP="00701131">
      <w:pPr>
        <w:pStyle w:val="BodyA"/>
        <w:numPr>
          <w:ilvl w:val="0"/>
          <w:numId w:val="6"/>
        </w:numPr>
        <w:ind w:left="360"/>
        <w:rPr>
          <w:rFonts w:ascii="Georgia" w:eastAsia="Georgia" w:hAnsi="Georgia" w:cs="Georgia"/>
          <w:color w:val="434343"/>
        </w:rPr>
      </w:pPr>
      <w:r>
        <w:rPr>
          <w:rStyle w:val="NoneA"/>
          <w:rFonts w:ascii="Georgia" w:hAnsi="Georgia"/>
          <w:color w:val="434343"/>
          <w:u w:color="434343"/>
        </w:rPr>
        <w:t>URM</w:t>
      </w:r>
      <w:r w:rsidR="000E2B20">
        <w:rPr>
          <w:rStyle w:val="NoneA"/>
          <w:rFonts w:ascii="Georgia" w:hAnsi="Georgia"/>
          <w:color w:val="434343"/>
          <w:u w:color="434343"/>
        </w:rPr>
        <w:t>s</w:t>
      </w:r>
      <w:r>
        <w:rPr>
          <w:rStyle w:val="NoneA"/>
          <w:rFonts w:ascii="Georgia" w:hAnsi="Georgia"/>
          <w:color w:val="434343"/>
          <w:u w:color="434343"/>
        </w:rPr>
        <w:t xml:space="preserve"> make up less than 10% of STEM faculty</w:t>
      </w:r>
      <w:r w:rsidR="000E2B20">
        <w:rPr>
          <w:rStyle w:val="NoneA"/>
          <w:rFonts w:ascii="Georgia" w:hAnsi="Georgia"/>
          <w:color w:val="434343"/>
          <w:u w:color="434343"/>
        </w:rPr>
        <w:t xml:space="preserve"> and in specific STEM disciplines </w:t>
      </w:r>
      <w:r w:rsidR="00CA3658">
        <w:rPr>
          <w:rStyle w:val="NoneA"/>
          <w:rFonts w:ascii="Georgia" w:hAnsi="Georgia"/>
          <w:color w:val="434343"/>
          <w:u w:color="434343"/>
        </w:rPr>
        <w:t>only 2% of the prof</w:t>
      </w:r>
      <w:r w:rsidR="000E2B20">
        <w:rPr>
          <w:rStyle w:val="NoneA"/>
          <w:rFonts w:ascii="Georgia" w:hAnsi="Georgia"/>
          <w:color w:val="434343"/>
          <w:u w:color="434343"/>
        </w:rPr>
        <w:t>es</w:t>
      </w:r>
      <w:r w:rsidR="00CA3658">
        <w:rPr>
          <w:rStyle w:val="NoneA"/>
          <w:rFonts w:ascii="Georgia" w:hAnsi="Georgia"/>
          <w:color w:val="434343"/>
          <w:u w:color="434343"/>
        </w:rPr>
        <w:t>s</w:t>
      </w:r>
      <w:r w:rsidR="000E2B20">
        <w:rPr>
          <w:rStyle w:val="NoneA"/>
          <w:rFonts w:ascii="Georgia" w:hAnsi="Georgia"/>
          <w:color w:val="434343"/>
          <w:u w:color="434343"/>
        </w:rPr>
        <w:t xml:space="preserve">oriate. </w:t>
      </w:r>
      <w:r w:rsidR="00223778">
        <w:rPr>
          <w:rStyle w:val="NoneA"/>
          <w:rFonts w:ascii="Georgia" w:hAnsi="Georgia"/>
          <w:color w:val="434343"/>
          <w:u w:color="434343"/>
        </w:rPr>
        <w:t>It was recently</w:t>
      </w:r>
      <w:r w:rsidR="00CA3658">
        <w:rPr>
          <w:rStyle w:val="NoneA"/>
          <w:rFonts w:ascii="Georgia" w:hAnsi="Georgia"/>
          <w:color w:val="434343"/>
          <w:u w:color="434343"/>
        </w:rPr>
        <w:t xml:space="preserve"> found </w:t>
      </w:r>
      <w:r w:rsidR="00223778">
        <w:rPr>
          <w:rStyle w:val="NoneA"/>
          <w:rFonts w:ascii="Georgia" w:hAnsi="Georgia"/>
          <w:color w:val="434343"/>
          <w:u w:color="434343"/>
        </w:rPr>
        <w:t>that only 300 URM women hold</w:t>
      </w:r>
      <w:r w:rsidR="00CA3658">
        <w:rPr>
          <w:rStyle w:val="NoneA"/>
          <w:rFonts w:ascii="Georgia" w:hAnsi="Georgia"/>
          <w:color w:val="434343"/>
          <w:u w:color="434343"/>
        </w:rPr>
        <w:t xml:space="preserve"> STEM faculty positions at the nation</w:t>
      </w:r>
      <w:r w:rsidR="00A47637">
        <w:rPr>
          <w:rStyle w:val="NoneA"/>
          <w:rFonts w:ascii="Georgia" w:hAnsi="Georgia"/>
          <w:color w:val="434343"/>
          <w:u w:color="434343"/>
        </w:rPr>
        <w:t>’</w:t>
      </w:r>
      <w:r w:rsidR="00CA3658">
        <w:rPr>
          <w:rStyle w:val="NoneA"/>
          <w:rFonts w:ascii="Georgia" w:hAnsi="Georgia"/>
          <w:color w:val="434343"/>
          <w:u w:color="434343"/>
        </w:rPr>
        <w:t>s top 50 research universities</w:t>
      </w:r>
      <w:r w:rsidR="00284009">
        <w:rPr>
          <w:rStyle w:val="NoneA"/>
          <w:rFonts w:ascii="Georgia" w:hAnsi="Georgia"/>
          <w:color w:val="434343"/>
          <w:u w:color="434343"/>
        </w:rPr>
        <w:t>.</w:t>
      </w:r>
      <w:r w:rsidR="000E2B20">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"DOI" : "https://www.aacu.org/publications-research/periodicals/diversifying-faculty", "author" : [ { "dropping-particle" : "", "family" : "Taylor", "given" : "Orlando", "non-dropping-particle" : "", "parse-names" : false, "suffix" : "" }, { "dropping-particle" : "", "family" : "Apprey", "given" : "Cheryl Burgan", "non-dropping-particle" : "", "parse-names" : false, "suffix" : "" }, { "dropping-particle" : "", "family" : "Hill", "given" : "George", "non-dropping-particle" : "", "parse-names" : false, "suffix" : "" }, { "dropping-particle" : "", "family" : "McGrann", "given" : "Loretta", "non-dropping-particle" : "", "parse-names" : false, "suffix" : "" }, { "dropping-particle" : "", "family" : "Wang", "given" : "Jianping", "non-dropping-particle" : "", "parse-names" : false, "suffix" : "" } ], "container-title" : "Peer Review", "id" : "ITEM-1", "issue" : "3", "issued" : { "date-parts" : [ [ "2010" ] ] }, "title" : "Diversifying the Faculty | Association of American Colleges &amp;amp; Universities", "type" : "article-journal", "volume" : "12" }, "uris" : [ "http://www.mendeley.com/documents/?uuid=28740267-c983-338d-bf5d-f3299fdcecb5" ] } ], "mendeley" : { "formattedCitation" : "&lt;sup&gt;3&lt;/sup&gt;", "plainTextFormattedCitation" : "3", "previouslyFormattedCitation" : "[3]" }, "properties" : { "noteIndex" : 0 }, "schema" : "https://github.com/citation-style-language/schema/raw/master/csl-citation.json" }</w:instrText>
      </w:r>
      <w:r w:rsidR="000E2B20">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3</w:t>
      </w:r>
      <w:r w:rsidR="000E2B20">
        <w:rPr>
          <w:rStyle w:val="NoneA"/>
          <w:rFonts w:ascii="Georgia" w:hAnsi="Georgia"/>
          <w:color w:val="434343"/>
          <w:u w:color="434343"/>
        </w:rPr>
        <w:fldChar w:fldCharType="end"/>
      </w:r>
    </w:p>
    <w:p w14:paraId="33A28ADD" w14:textId="278B8561" w:rsidR="00123013" w:rsidRPr="00AB4094" w:rsidRDefault="006113B7" w:rsidP="00701131">
      <w:pPr>
        <w:pStyle w:val="BodyA"/>
        <w:numPr>
          <w:ilvl w:val="0"/>
          <w:numId w:val="6"/>
        </w:numPr>
        <w:ind w:left="360"/>
        <w:rPr>
          <w:rStyle w:val="NoneA"/>
          <w:rFonts w:ascii="Georgia" w:eastAsia="Georgia" w:hAnsi="Georgia" w:cs="Georgia"/>
          <w:color w:val="434343"/>
        </w:rPr>
      </w:pPr>
      <w:r w:rsidRPr="00764198">
        <w:rPr>
          <w:rFonts w:ascii="Georgia" w:hAnsi="Georgia"/>
          <w:color w:val="434343"/>
        </w:rPr>
        <w:t>T</w:t>
      </w:r>
      <w:r w:rsidR="007D79F4" w:rsidRPr="00764198">
        <w:rPr>
          <w:rStyle w:val="NoneA"/>
          <w:rFonts w:ascii="Georgia" w:hAnsi="Georgia"/>
          <w:color w:val="434343"/>
          <w:u w:color="434343"/>
        </w:rPr>
        <w:t xml:space="preserve">he lack of women and URM faculty in senior positions can limit access to </w:t>
      </w:r>
      <w:r w:rsidR="00764198" w:rsidRPr="00764198">
        <w:rPr>
          <w:rStyle w:val="NoneA"/>
          <w:rFonts w:ascii="Georgia" w:hAnsi="Georgia"/>
          <w:color w:val="434343"/>
          <w:u w:color="434343"/>
        </w:rPr>
        <w:t xml:space="preserve">peer </w:t>
      </w:r>
      <w:r w:rsidR="007D79F4" w:rsidRPr="00764198">
        <w:rPr>
          <w:rStyle w:val="NoneA"/>
          <w:rFonts w:ascii="Georgia" w:hAnsi="Georgia"/>
          <w:color w:val="434343"/>
          <w:u w:color="434343"/>
        </w:rPr>
        <w:t xml:space="preserve">mentors for these </w:t>
      </w:r>
      <w:r w:rsidR="00605206" w:rsidRPr="00764198">
        <w:rPr>
          <w:rStyle w:val="NoneA"/>
          <w:rFonts w:ascii="Georgia" w:hAnsi="Georgia"/>
          <w:color w:val="434343"/>
          <w:u w:color="434343"/>
        </w:rPr>
        <w:t xml:space="preserve">mid-level </w:t>
      </w:r>
      <w:r w:rsidR="007D79F4" w:rsidRPr="00764198">
        <w:rPr>
          <w:rStyle w:val="NoneA"/>
          <w:rFonts w:ascii="Georgia" w:hAnsi="Georgia"/>
          <w:color w:val="434343"/>
          <w:u w:color="434343"/>
        </w:rPr>
        <w:t>faculty</w:t>
      </w:r>
      <w:r w:rsidR="00223778">
        <w:rPr>
          <w:rStyle w:val="NoneA"/>
          <w:rFonts w:ascii="Georgia" w:hAnsi="Georgia"/>
          <w:color w:val="434343"/>
          <w:u w:color="434343"/>
        </w:rPr>
        <w:t xml:space="preserve"> </w:t>
      </w:r>
      <w:r w:rsidR="00A47637">
        <w:rPr>
          <w:rStyle w:val="NoneA"/>
          <w:rFonts w:ascii="Georgia" w:hAnsi="Georgia"/>
          <w:color w:val="434343"/>
          <w:u w:color="434343"/>
        </w:rPr>
        <w:t xml:space="preserve">and </w:t>
      </w:r>
      <w:r w:rsidR="00223778">
        <w:rPr>
          <w:rStyle w:val="NoneA"/>
          <w:rFonts w:ascii="Georgia" w:hAnsi="Georgia"/>
          <w:color w:val="434343"/>
          <w:u w:color="434343"/>
        </w:rPr>
        <w:t>contribute to the cycle of under-representation</w:t>
      </w:r>
      <w:r w:rsidR="00284009">
        <w:rPr>
          <w:rStyle w:val="NoneA"/>
          <w:rFonts w:ascii="Georgia" w:hAnsi="Georgia"/>
          <w:color w:val="434343"/>
          <w:u w:color="434343"/>
        </w:rPr>
        <w:t>.</w:t>
      </w:r>
      <w:r w:rsidR="00605206" w:rsidRPr="00764198">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"DOI" : "10.1080/13611267.2014.945739", "ISSN" : "1361-1267", "abstract" : "In this article, the authors conducted a research metasynthesis of publications by a group of Latina tenure-track faculty participating in a peer mentoring group, the Research for the Educational Advancement of Latin@s (REAL) collaborative, housed in one Hispanic Serving Institution. Due to the small representation of Latinas in the academy, the significance of non-hierarchical peer-mentoring structures is observed as empowering Latina faculty to develop personal and/or professional transformation. We asked, \u201cWhat peer mentoring strategies can Latina faculty employ to navigate academia?\u201d These faculty members\u2019 experiences in building a scholarly community pose a counter-narrative to the historical isolation of underrepresented faculty in academia and suggest possibilities for women faculty of color to construct a personal and professional community in the academy.", "author" : [ { "dropping-particle" : "", "family" : "Murakami", "given" : "Elizabeth T.", "non-dropping-particle" : "", "parse-names" : false, "suffix" : "" }, { "dropping-particle" : "", "family" : "N\u00fa\u00f1ez", "given" : "Anne-Marie", "non-dropping-particle" : "", "parse-names" : false, "suffix" : "" } ], "container-title" : "Mentoring &amp; Tutoring: Partnership in Learning", "id" : "ITEM-1", "issue" : "4", "issued" : { "date-parts" : [ [ "2014", "8" ] ] }, "page" : "284-301", "publisher" : "Routledge", "title" : "Latina Faculty Transcending Barriers: Peer Mentoring in a Hispanic-serving Institution", "type" : "article-journal", "volume" : "22" }, "uris" : [ "http://www.mendeley.com/documents/?uuid=832f81aa-8889-3225-8088-880531546f4e", "http://www.mendeley.com/documents/?uuid=9a5658dd-480a-4e83-9d0b-0b253f268b1f" ] } ], "mendeley" : { "formattedCitation" : "&lt;sup&gt;4&lt;/sup&gt;", "plainTextFormattedCitation" : "4", "previouslyFormattedCitation" : "[4]" }, "properties" : { "noteIndex" : 0 }, "schema" : "https://github.com/citation-style-language/schema/raw/master/csl-citation.json" }</w:instrText>
      </w:r>
      <w:r w:rsidR="00605206" w:rsidRPr="00764198">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4</w:t>
      </w:r>
      <w:r w:rsidR="00605206" w:rsidRPr="00764198">
        <w:rPr>
          <w:rStyle w:val="NoneA"/>
          <w:rFonts w:ascii="Georgia" w:hAnsi="Georgia"/>
          <w:color w:val="434343"/>
          <w:u w:color="434343"/>
        </w:rPr>
        <w:fldChar w:fldCharType="end"/>
      </w:r>
      <w:r w:rsidR="00605206" w:rsidRPr="00764198">
        <w:rPr>
          <w:rStyle w:val="NoneA"/>
          <w:rFonts w:ascii="Georgia" w:hAnsi="Georgia"/>
          <w:color w:val="434343"/>
          <w:u w:color="434343"/>
        </w:rPr>
        <w:t xml:space="preserve"> </w:t>
      </w:r>
    </w:p>
    <w:p w14:paraId="53E7151D" w14:textId="2E88A192" w:rsidR="00154754" w:rsidRDefault="00501528" w:rsidP="00701131">
      <w:pPr>
        <w:pStyle w:val="BodyA"/>
        <w:numPr>
          <w:ilvl w:val="0"/>
          <w:numId w:val="6"/>
        </w:numPr>
        <w:ind w:left="360"/>
        <w:rPr>
          <w:rStyle w:val="NoneA"/>
          <w:rFonts w:ascii="Georgia" w:eastAsia="Georgia" w:hAnsi="Georgia" w:cs="Georgia"/>
          <w:color w:val="434343"/>
        </w:rPr>
      </w:pPr>
      <w:r>
        <w:rPr>
          <w:rStyle w:val="NoneA"/>
          <w:rFonts w:ascii="Georgia" w:hAnsi="Georgia"/>
          <w:color w:val="434343"/>
          <w:u w:color="434343"/>
        </w:rPr>
        <w:t>The lack</w:t>
      </w:r>
      <w:r w:rsidR="00154754">
        <w:rPr>
          <w:rStyle w:val="NoneA"/>
          <w:rFonts w:ascii="Georgia" w:hAnsi="Georgia"/>
          <w:color w:val="434343"/>
          <w:u w:color="434343"/>
        </w:rPr>
        <w:t xml:space="preserve"> of women and URM in senior pos</w:t>
      </w:r>
      <w:r w:rsidR="005A71E4">
        <w:rPr>
          <w:rStyle w:val="NoneA"/>
          <w:rFonts w:ascii="Georgia" w:hAnsi="Georgia"/>
          <w:color w:val="434343"/>
          <w:u w:color="434343"/>
        </w:rPr>
        <w:t xml:space="preserve">itions is most prominent </w:t>
      </w:r>
      <w:r w:rsidR="00154754">
        <w:rPr>
          <w:rStyle w:val="NoneA"/>
          <w:rFonts w:ascii="Georgia" w:hAnsi="Georgia"/>
          <w:color w:val="434343"/>
          <w:u w:color="434343"/>
        </w:rPr>
        <w:t xml:space="preserve">in </w:t>
      </w:r>
      <w:r>
        <w:rPr>
          <w:rStyle w:val="NoneA"/>
          <w:rFonts w:ascii="Georgia" w:hAnsi="Georgia"/>
          <w:color w:val="434343"/>
          <w:u w:color="434343"/>
        </w:rPr>
        <w:t>the STEM disciplines</w:t>
      </w:r>
      <w:r w:rsidR="005B5380">
        <w:rPr>
          <w:rStyle w:val="NoneA"/>
          <w:rFonts w:ascii="Georgia" w:hAnsi="Georgia"/>
          <w:color w:val="434343"/>
          <w:u w:color="434343"/>
        </w:rPr>
        <w:t>, due to a</w:t>
      </w:r>
      <w:r w:rsidR="005A71E4">
        <w:rPr>
          <w:rStyle w:val="NoneA"/>
          <w:rFonts w:ascii="Georgia" w:hAnsi="Georgia"/>
          <w:color w:val="434343"/>
          <w:u w:color="434343"/>
        </w:rPr>
        <w:t xml:space="preserve"> l</w:t>
      </w:r>
      <w:r w:rsidR="005B5380">
        <w:rPr>
          <w:rStyle w:val="NoneA"/>
          <w:rFonts w:ascii="Georgia" w:hAnsi="Georgia"/>
          <w:color w:val="434343"/>
          <w:u w:color="434343"/>
        </w:rPr>
        <w:t xml:space="preserve">ack of peer modeling and </w:t>
      </w:r>
      <w:r w:rsidR="005A71E4">
        <w:rPr>
          <w:rStyle w:val="NoneA"/>
          <w:rFonts w:ascii="Georgia" w:hAnsi="Georgia"/>
          <w:color w:val="434343"/>
          <w:u w:color="434343"/>
        </w:rPr>
        <w:t>support/incentives for success in these fields.</w:t>
      </w:r>
      <w:r w:rsidR="005A71E4">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"abstract" : "This paper traces the workplace practices within which mid-career women faculty in sci-ence, technology, engineering, and mathematics (STEM) carry out their careers. Findings from this case study of 25 faculty at one research university revealed three institutional processes that constrained their careers: (a) access to and integration into career net-works; (b) distribution of labor in the department and institution; and (c) promotion and leadership. Using Acker's (1990, 2012) theory of gendered organizations and subtexts I uncovered systemic inequities that could compromise professional advancement for mid-career women faculty in STEM. Implications for these findings; Acker's theory; and rec-ommendations for policy, practice, and future research are included.", "author" : [ { "dropping-particle" : "", "family" : "Hart", "given" : "Jeni", "non-dropping-particle" : "", "parse-names" : false, "suffix" : "" } ], "container-title" : "The Journal of Higher Education", "id" : "ITEM-1", "issue" : "5", "issued" : { "date-parts" : [ [ "2016" ] ] }, "page" : "605-634", "title" : "Dissecting a Gendered Organization: Implications for Career Trajectories for Mid-Career Faculty Women in STEM", "type" : "article-journal", "volume" : "87" }, "uris" : [ "http://www.mendeley.com/documents/?uuid=ba4b4069-32eb-3f4b-a912-229e7500c82e" ] }, { "id" : "ITEM-2", "itemData" : { "DOI" : "10.1037/a0021831", "ISSN" : "1938-8934", "author" : [ { "dropping-particle" : "", "family" : "Carrigan", "given" : "Coleen", "non-dropping-particle" : "", "parse-names" : false, "suffix" : "" }, { "dropping-particle" : "", "family" : "Quinn", "given" : "Kate", "non-dropping-particle" : "", "parse-names" : false, "suffix" : "" }, { "dropping-particle" : "", "family" : "Riskin", "given" : "Eve A.", "non-dropping-particle" : "", "parse-names" : false, "suffix" : "" } ], "container-title" : "Journal of Diversity in Higher Education", "id" : "ITEM-2", "issue" : "3", "issued" : { "date-parts" : [ [ "2011" ] ] }, "page" : "131-146", "title" : "The gendered division of labor among STEM faculty and the effects of critical mass.", "type" : "article-journal", "volume" : "4" }, "uris" : [ "http://www.mendeley.com/documents/?uuid=e428f6d0-ab49-3ea9-afd1-a0456437f738" ] } ], "mendeley" : { "formattedCitation" : "&lt;sup&gt;5,6&lt;/sup&gt;", "plainTextFormattedCitation" : "5,6", "previouslyFormattedCitation" : "[5], [6]" }, "properties" : { "noteIndex" : 0 }, "schema" : "https://github.com/citation-style-language/schema/raw/master/csl-citation.json" }</w:instrText>
      </w:r>
      <w:r w:rsidR="005A71E4">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5,6</w:t>
      </w:r>
      <w:r w:rsidR="005A71E4">
        <w:rPr>
          <w:rStyle w:val="NoneA"/>
          <w:rFonts w:ascii="Georgia" w:hAnsi="Georgia"/>
          <w:color w:val="434343"/>
          <w:u w:color="434343"/>
        </w:rPr>
        <w:fldChar w:fldCharType="end"/>
      </w:r>
    </w:p>
    <w:p w14:paraId="2D3110F6" w14:textId="11CC3DF0" w:rsidR="00123013" w:rsidRPr="00C71B92" w:rsidRDefault="007D79F4" w:rsidP="00AB4094">
      <w:pPr>
        <w:pStyle w:val="Heading2"/>
        <w:keepLines/>
        <w:spacing w:before="200"/>
        <w:rPr>
          <w:b w:val="0"/>
          <w:bCs w:val="0"/>
        </w:rPr>
      </w:pPr>
      <w:r w:rsidRPr="00FF78AB">
        <w:rPr>
          <w:rStyle w:val="NoneA"/>
          <w:rFonts w:ascii="Arial" w:hAnsi="Arial"/>
          <w:color w:val="652C90"/>
          <w:sz w:val="28"/>
          <w:szCs w:val="28"/>
          <w:u w:color="652C90"/>
        </w:rPr>
        <w:t>Strategies for Mentoring Mid-Career Faculty</w:t>
      </w:r>
    </w:p>
    <w:p w14:paraId="759F778C" w14:textId="25188996" w:rsidR="002B09AE" w:rsidRPr="00B95EF1" w:rsidRDefault="00130938" w:rsidP="00701131">
      <w:pPr>
        <w:pStyle w:val="BodyA"/>
        <w:numPr>
          <w:ilvl w:val="0"/>
          <w:numId w:val="7"/>
        </w:numPr>
        <w:ind w:left="360"/>
        <w:rPr>
          <w:rStyle w:val="NoneA"/>
          <w:rFonts w:ascii="Georgia" w:hAnsi="Georgia"/>
          <w:color w:val="434343"/>
          <w:u w:color="434343"/>
        </w:rPr>
      </w:pPr>
      <w:r w:rsidRPr="00B95EF1">
        <w:rPr>
          <w:rStyle w:val="NoneA"/>
          <w:rFonts w:ascii="Georgia" w:hAnsi="Georgia"/>
          <w:color w:val="434343"/>
          <w:u w:color="434343"/>
        </w:rPr>
        <w:t xml:space="preserve">Mentoring is well established in </w:t>
      </w:r>
      <w:r w:rsidR="00A64EAC" w:rsidRPr="00B95EF1">
        <w:rPr>
          <w:rStyle w:val="NoneA"/>
          <w:rFonts w:ascii="Georgia" w:hAnsi="Georgia"/>
          <w:color w:val="434343"/>
          <w:u w:color="434343"/>
        </w:rPr>
        <w:t>the literature</w:t>
      </w:r>
      <w:r w:rsidRPr="00B95EF1">
        <w:rPr>
          <w:rStyle w:val="NoneA"/>
          <w:rFonts w:ascii="Georgia" w:hAnsi="Georgia"/>
          <w:color w:val="434343"/>
          <w:u w:color="434343"/>
        </w:rPr>
        <w:t xml:space="preserve"> as an effective tool to prom</w:t>
      </w:r>
      <w:r w:rsidR="00E34EC7" w:rsidRPr="00B95EF1">
        <w:rPr>
          <w:rStyle w:val="NoneA"/>
          <w:rFonts w:ascii="Georgia" w:hAnsi="Georgia"/>
          <w:color w:val="434343"/>
          <w:u w:color="434343"/>
        </w:rPr>
        <w:t xml:space="preserve">ote </w:t>
      </w:r>
      <w:r w:rsidR="004E4123" w:rsidRPr="00B95EF1">
        <w:rPr>
          <w:rStyle w:val="NoneA"/>
          <w:rFonts w:ascii="Georgia" w:hAnsi="Georgia"/>
          <w:color w:val="434343"/>
          <w:u w:color="434343"/>
        </w:rPr>
        <w:t>succes</w:t>
      </w:r>
      <w:r w:rsidR="00A64EAC" w:rsidRPr="00B95EF1">
        <w:rPr>
          <w:rStyle w:val="NoneA"/>
          <w:rFonts w:ascii="Georgia" w:hAnsi="Georgia"/>
          <w:color w:val="434343"/>
          <w:u w:color="434343"/>
        </w:rPr>
        <w:t xml:space="preserve">s and achievement </w:t>
      </w:r>
      <w:r w:rsidR="00B95EF1" w:rsidRPr="00B95EF1">
        <w:rPr>
          <w:rStyle w:val="NoneA"/>
          <w:rFonts w:ascii="Georgia" w:hAnsi="Georgia"/>
          <w:color w:val="434343"/>
          <w:u w:color="434343"/>
        </w:rPr>
        <w:t xml:space="preserve">of all </w:t>
      </w:r>
      <w:r w:rsidR="00A64EAC" w:rsidRPr="00B95EF1">
        <w:rPr>
          <w:rStyle w:val="NoneA"/>
          <w:rFonts w:ascii="Georgia" w:hAnsi="Georgia"/>
          <w:color w:val="434343"/>
          <w:u w:color="434343"/>
        </w:rPr>
        <w:t>faculty</w:t>
      </w:r>
      <w:r w:rsidR="008F6301" w:rsidRPr="00B95EF1">
        <w:rPr>
          <w:rStyle w:val="NoneA"/>
          <w:rFonts w:ascii="Georgia" w:hAnsi="Georgia"/>
          <w:color w:val="434343"/>
          <w:u w:color="434343"/>
        </w:rPr>
        <w:t xml:space="preserve">, particularly URM </w:t>
      </w:r>
      <w:r w:rsidR="00B95EF1" w:rsidRPr="00B95EF1">
        <w:rPr>
          <w:rStyle w:val="NoneA"/>
          <w:rFonts w:ascii="Georgia" w:hAnsi="Georgia"/>
          <w:color w:val="434343"/>
          <w:u w:color="434343"/>
        </w:rPr>
        <w:t>and</w:t>
      </w:r>
      <w:r w:rsidR="008F6301" w:rsidRPr="00B95EF1">
        <w:rPr>
          <w:rStyle w:val="NoneA"/>
          <w:rFonts w:ascii="Georgia" w:hAnsi="Georgia"/>
          <w:color w:val="434343"/>
          <w:u w:color="434343"/>
        </w:rPr>
        <w:t xml:space="preserve"> women</w:t>
      </w:r>
      <w:r w:rsidR="005724CC">
        <w:rPr>
          <w:rStyle w:val="NoneA"/>
          <w:rFonts w:ascii="Georgia" w:hAnsi="Georgia"/>
          <w:color w:val="434343"/>
          <w:u w:color="434343"/>
        </w:rPr>
        <w:t xml:space="preserve"> faculty</w:t>
      </w:r>
      <w:r w:rsidR="0018340C">
        <w:rPr>
          <w:rStyle w:val="NoneA"/>
          <w:rFonts w:ascii="Georgia" w:hAnsi="Georgia"/>
          <w:color w:val="434343"/>
          <w:u w:color="434343"/>
        </w:rPr>
        <w:t>.</w:t>
      </w:r>
      <w:r w:rsidR="008F6301" w:rsidRPr="00B95EF1">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 : [ { "dropping-particle" : "", "family" : "Sorcinelli", "given" : "Mary Deane", "non-dropping-particle" : "", "parse-names" : false, "suffix" : "" }, { "dropping-particle" : "", "family" : "Yun", "given" : "Jung", "non-dropping-particle" : "", "parse-names" : false, "suffix" : "" } ], "container-title" : "Change", "id" : "ITEM-1", "issue" : "6", "issued" : { "date-parts" : [ [ "2007" ] ] }, "page" : "58-61", "title" : "Resource Review: From Mentor to Mentoring Networks: Mentoring in the New Academy", "type" : "article-journal", "volume" : "39" }, "uris" : [ "http://www.mendeley.com/documents/?uuid=7fdbf265-00a4-351a-b6a9-c4c0040336be" ] } ], "mendeley" : { "formattedCitation" : "&lt;sup&gt;7&lt;/sup&gt;", "plainTextFormattedCitation" : "7", "previouslyFormattedCitation" : "[7]" }, "properties" : { "noteIndex" : 0 }, "schema" : "https://github.com/citation-style-language/schema/raw/master/csl-citation.json" }</w:instrText>
      </w:r>
      <w:r w:rsidR="008F6301" w:rsidRPr="00B95EF1">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7</w:t>
      </w:r>
      <w:r w:rsidR="008F6301" w:rsidRPr="00B95EF1">
        <w:rPr>
          <w:rStyle w:val="NoneA"/>
          <w:rFonts w:ascii="Georgia" w:hAnsi="Georgia"/>
          <w:color w:val="434343"/>
          <w:u w:color="434343"/>
        </w:rPr>
        <w:fldChar w:fldCharType="end"/>
      </w:r>
      <w:r w:rsidR="004E4123" w:rsidRPr="00B95EF1">
        <w:rPr>
          <w:rStyle w:val="NoneA"/>
          <w:rFonts w:ascii="Georgia" w:hAnsi="Georgia"/>
          <w:color w:val="434343"/>
          <w:u w:color="434343"/>
        </w:rPr>
        <w:t xml:space="preserve"> </w:t>
      </w:r>
      <w:r w:rsidR="006113B7" w:rsidRPr="00B95EF1">
        <w:rPr>
          <w:rStyle w:val="NoneA"/>
          <w:rFonts w:ascii="Georgia" w:hAnsi="Georgia"/>
          <w:color w:val="434343"/>
          <w:u w:color="434343"/>
        </w:rPr>
        <w:t xml:space="preserve"> </w:t>
      </w:r>
      <w:r w:rsidR="00B95EF1" w:rsidRPr="00B95EF1">
        <w:rPr>
          <w:rStyle w:val="NoneA"/>
          <w:rFonts w:ascii="Georgia" w:hAnsi="Georgia"/>
          <w:color w:val="434343"/>
          <w:u w:color="434343"/>
        </w:rPr>
        <w:t xml:space="preserve">Mentoring relationships are moving beyond </w:t>
      </w:r>
      <w:r w:rsidR="00B95EF1">
        <w:rPr>
          <w:rStyle w:val="NoneA"/>
          <w:rFonts w:ascii="Georgia" w:hAnsi="Georgia"/>
          <w:color w:val="434343"/>
          <w:u w:color="434343"/>
        </w:rPr>
        <w:t>t</w:t>
      </w:r>
      <w:r w:rsidR="00EB0CB4" w:rsidRPr="00B95EF1">
        <w:rPr>
          <w:rStyle w:val="NoneA"/>
          <w:rFonts w:ascii="Georgia" w:hAnsi="Georgia"/>
          <w:color w:val="434343"/>
          <w:u w:color="434343"/>
        </w:rPr>
        <w:t>raditional one-on-one mentor relationships</w:t>
      </w:r>
      <w:r w:rsidRPr="00B95EF1">
        <w:rPr>
          <w:rStyle w:val="NoneA"/>
          <w:rFonts w:ascii="Georgia" w:hAnsi="Georgia"/>
          <w:color w:val="434343"/>
          <w:u w:color="434343"/>
        </w:rPr>
        <w:t xml:space="preserve"> to models that </w:t>
      </w:r>
      <w:r w:rsidR="003A562D" w:rsidRPr="00B95EF1">
        <w:rPr>
          <w:rStyle w:val="NoneA"/>
          <w:rFonts w:ascii="Georgia" w:hAnsi="Georgia"/>
          <w:color w:val="434343"/>
          <w:u w:color="434343"/>
        </w:rPr>
        <w:t>offer more flexibility and access</w:t>
      </w:r>
      <w:r w:rsidR="0065707B">
        <w:rPr>
          <w:rStyle w:val="NoneA"/>
          <w:rFonts w:ascii="Georgia" w:hAnsi="Georgia"/>
          <w:color w:val="434343"/>
          <w:u w:color="434343"/>
        </w:rPr>
        <w:t>. These</w:t>
      </w:r>
      <w:r w:rsidR="005808B5">
        <w:rPr>
          <w:rStyle w:val="NoneA"/>
          <w:rFonts w:ascii="Georgia" w:hAnsi="Georgia"/>
          <w:color w:val="434343"/>
          <w:u w:color="434343"/>
        </w:rPr>
        <w:t xml:space="preserve"> includ</w:t>
      </w:r>
      <w:r w:rsidR="0065707B">
        <w:rPr>
          <w:rStyle w:val="NoneA"/>
          <w:rFonts w:ascii="Georgia" w:hAnsi="Georgia"/>
          <w:color w:val="434343"/>
          <w:u w:color="434343"/>
        </w:rPr>
        <w:t>e</w:t>
      </w:r>
      <w:r w:rsidR="007A7136" w:rsidRPr="00B95EF1">
        <w:rPr>
          <w:rStyle w:val="NoneA"/>
          <w:rFonts w:ascii="Georgia" w:hAnsi="Georgia"/>
          <w:color w:val="434343"/>
          <w:u w:color="434343"/>
        </w:rPr>
        <w:t xml:space="preserve"> multi-year</w:t>
      </w:r>
      <w:r w:rsidR="0065707B">
        <w:rPr>
          <w:rStyle w:val="NoneA"/>
          <w:rFonts w:ascii="Georgia" w:hAnsi="Georgia"/>
          <w:color w:val="434343"/>
          <w:u w:color="434343"/>
        </w:rPr>
        <w:t>-</w:t>
      </w:r>
      <w:r w:rsidR="007A7136" w:rsidRPr="00B95EF1">
        <w:rPr>
          <w:rStyle w:val="NoneA"/>
          <w:rFonts w:ascii="Georgia" w:hAnsi="Georgia"/>
          <w:color w:val="434343"/>
          <w:u w:color="434343"/>
        </w:rPr>
        <w:t>long cohort</w:t>
      </w:r>
      <w:r w:rsidR="0065707B">
        <w:rPr>
          <w:rStyle w:val="NoneA"/>
          <w:rFonts w:ascii="Georgia" w:hAnsi="Georgia"/>
          <w:color w:val="434343"/>
          <w:u w:color="434343"/>
        </w:rPr>
        <w:t>-</w:t>
      </w:r>
      <w:r w:rsidR="007A7136" w:rsidRPr="00B95EF1">
        <w:rPr>
          <w:rStyle w:val="NoneA"/>
          <w:rFonts w:ascii="Georgia" w:hAnsi="Georgia"/>
          <w:color w:val="434343"/>
          <w:u w:color="434343"/>
        </w:rPr>
        <w:t xml:space="preserve">based mentoring, casual peer mentoring sessions, </w:t>
      </w:r>
      <w:r w:rsidR="005724CC">
        <w:rPr>
          <w:rStyle w:val="NoneA"/>
          <w:rFonts w:ascii="Georgia" w:hAnsi="Georgia"/>
          <w:color w:val="434343"/>
          <w:u w:color="434343"/>
        </w:rPr>
        <w:t xml:space="preserve">junior faculty mentoring </w:t>
      </w:r>
      <w:r w:rsidR="007A7136" w:rsidRPr="00B95EF1">
        <w:rPr>
          <w:rStyle w:val="NoneA"/>
          <w:rFonts w:ascii="Georgia" w:hAnsi="Georgia"/>
          <w:color w:val="434343"/>
          <w:u w:color="434343"/>
        </w:rPr>
        <w:t xml:space="preserve">opportunities, national consortia, </w:t>
      </w:r>
      <w:r w:rsidR="005808B5">
        <w:rPr>
          <w:rStyle w:val="NoneA"/>
          <w:rFonts w:ascii="Georgia" w:hAnsi="Georgia"/>
          <w:color w:val="434343"/>
          <w:u w:color="434343"/>
        </w:rPr>
        <w:t>and more</w:t>
      </w:r>
      <w:r w:rsidR="00284009">
        <w:rPr>
          <w:rStyle w:val="NoneA"/>
          <w:rFonts w:ascii="Georgia" w:hAnsi="Georgia"/>
          <w:color w:val="434343"/>
          <w:u w:color="434343"/>
        </w:rPr>
        <w:t>.</w:t>
      </w:r>
      <w:r w:rsidR="007A7136" w:rsidRPr="00B95EF1">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"DOI" : "10.1080/00091383.2015.1053767", "ISSN" : "0009-1383", "author" : [ { "dropping-particle" : "", "family" : "Laursen", "given" : "Sandra L.", "non-dropping-particle" : "", "parse-names" : false, "suffix" : "" }, { "dropping-particle" : "", "family" : "Austin", "given" : "Ann E.", "non-dropping-particle" : "", "parse-names" : false, "suffix" : "" }, { "dropping-particle" : "", "family" : "Soto", "given" : "Melissa", "non-dropping-particle" : "", "parse-names" : false, "suffix" : "" }, { "dropping-particle" : "", "family" : "Martinez", "given" : "Dalinda", "non-dropping-particle" : "", "parse-names" : false, "suffix" : "" } ], "container-title" : "Change: The Magazine of Higher Learning", "id" : "ITEM-1", "issue" : "4", "issued" : { "date-parts" : [ [ "2015" ] ] }, "page" : "16-24", "title" : "Advancing the agenda for gender equity", "type" : "article-journal", "volume" : "47" }, "uris" : [ "http://www.mendeley.com/documents/?uuid=08d2dfde-420a-38e7-81cb-ba6a035d5008" ] } ], "mendeley" : { "formattedCitation" : "&lt;sup&gt;8&lt;/sup&gt;", "plainTextFormattedCitation" : "8", "previouslyFormattedCitation" : "[8]" }, "properties" : { "noteIndex" : 0 }, "schema" : "https://github.com/citation-style-language/schema/raw/master/csl-citation.json" }</w:instrText>
      </w:r>
      <w:r w:rsidR="007A7136" w:rsidRPr="00B95EF1">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8</w:t>
      </w:r>
      <w:r w:rsidR="007A7136" w:rsidRPr="00B95EF1">
        <w:rPr>
          <w:rStyle w:val="NoneA"/>
          <w:rFonts w:ascii="Georgia" w:hAnsi="Georgia"/>
          <w:color w:val="434343"/>
          <w:u w:color="434343"/>
        </w:rPr>
        <w:fldChar w:fldCharType="end"/>
      </w:r>
    </w:p>
    <w:p w14:paraId="01BA3F95" w14:textId="115DC849" w:rsidR="002B09AE" w:rsidRPr="006113B7" w:rsidRDefault="00B273C9" w:rsidP="00701131">
      <w:pPr>
        <w:pStyle w:val="BodyA"/>
        <w:numPr>
          <w:ilvl w:val="0"/>
          <w:numId w:val="7"/>
        </w:numPr>
        <w:ind w:left="360"/>
        <w:rPr>
          <w:rStyle w:val="NoneA"/>
          <w:rFonts w:ascii="Georgia" w:hAnsi="Georgia"/>
          <w:color w:val="434343"/>
          <w:u w:color="434343"/>
        </w:rPr>
      </w:pPr>
      <w:r>
        <w:rPr>
          <w:rStyle w:val="NoneA"/>
          <w:rFonts w:ascii="Georgia" w:hAnsi="Georgia"/>
          <w:color w:val="434343"/>
          <w:u w:color="434343"/>
        </w:rPr>
        <w:lastRenderedPageBreak/>
        <w:t xml:space="preserve">Mentoring </w:t>
      </w:r>
      <w:r w:rsidR="005808B5">
        <w:rPr>
          <w:rStyle w:val="NoneA"/>
          <w:rFonts w:ascii="Georgia" w:hAnsi="Georgia"/>
          <w:color w:val="434343"/>
          <w:u w:color="434343"/>
        </w:rPr>
        <w:t>programs should</w:t>
      </w:r>
      <w:r>
        <w:rPr>
          <w:rStyle w:val="NoneA"/>
          <w:rFonts w:ascii="Georgia" w:hAnsi="Georgia"/>
          <w:color w:val="434343"/>
          <w:u w:color="434343"/>
        </w:rPr>
        <w:t xml:space="preserve"> address diversity, cultural sensitivity</w:t>
      </w:r>
      <w:r w:rsidR="0009034D">
        <w:rPr>
          <w:rStyle w:val="NoneA"/>
          <w:rFonts w:ascii="Georgia" w:hAnsi="Georgia"/>
          <w:color w:val="434343"/>
          <w:u w:color="434343"/>
        </w:rPr>
        <w:t>, and inclusion</w:t>
      </w:r>
      <w:r w:rsidR="005808B5">
        <w:rPr>
          <w:rStyle w:val="NoneA"/>
          <w:rFonts w:ascii="Georgia" w:hAnsi="Georgia"/>
          <w:color w:val="434343"/>
          <w:u w:color="434343"/>
        </w:rPr>
        <w:t>.</w:t>
      </w:r>
      <w:r w:rsidR="0009034D">
        <w:rPr>
          <w:rStyle w:val="NoneA"/>
          <w:rFonts w:ascii="Georgia" w:hAnsi="Georgia"/>
          <w:color w:val="434343"/>
          <w:u w:color="434343"/>
        </w:rPr>
        <w:t xml:space="preserve"> Current resources for literature to sup</w:t>
      </w:r>
      <w:r w:rsidR="00654E7D">
        <w:rPr>
          <w:rStyle w:val="NoneA"/>
          <w:rFonts w:ascii="Georgia" w:hAnsi="Georgia"/>
          <w:color w:val="434343"/>
          <w:u w:color="434343"/>
        </w:rPr>
        <w:t xml:space="preserve">port various diversity mentoring </w:t>
      </w:r>
      <w:r w:rsidR="0077265B">
        <w:rPr>
          <w:rStyle w:val="NoneA"/>
          <w:rFonts w:ascii="Georgia" w:hAnsi="Georgia"/>
          <w:color w:val="434343"/>
          <w:u w:color="434343"/>
        </w:rPr>
        <w:t xml:space="preserve">models </w:t>
      </w:r>
      <w:r w:rsidR="002844A5">
        <w:rPr>
          <w:rStyle w:val="NoneA"/>
          <w:rFonts w:ascii="Georgia" w:hAnsi="Georgia"/>
          <w:color w:val="434343"/>
          <w:u w:color="434343"/>
        </w:rPr>
        <w:t>is co</w:t>
      </w:r>
      <w:r w:rsidR="00C30B76">
        <w:rPr>
          <w:rStyle w:val="NoneA"/>
          <w:rFonts w:ascii="Georgia" w:hAnsi="Georgia"/>
          <w:color w:val="434343"/>
          <w:u w:color="434343"/>
        </w:rPr>
        <w:t>mpiled concisely in</w:t>
      </w:r>
      <w:r w:rsidR="005808B5">
        <w:rPr>
          <w:rStyle w:val="NoneA"/>
          <w:rFonts w:ascii="Georgia" w:hAnsi="Georgia"/>
          <w:color w:val="434343"/>
          <w:u w:color="434343"/>
        </w:rPr>
        <w:t xml:space="preserve"> </w:t>
      </w:r>
      <w:proofErr w:type="spellStart"/>
      <w:r w:rsidR="005808B5">
        <w:rPr>
          <w:rStyle w:val="NoneA"/>
          <w:rFonts w:ascii="Georgia" w:hAnsi="Georgia"/>
          <w:color w:val="434343"/>
          <w:u w:color="434343"/>
        </w:rPr>
        <w:t>Sorcinelli</w:t>
      </w:r>
      <w:proofErr w:type="spellEnd"/>
      <w:r w:rsidR="005808B5">
        <w:rPr>
          <w:rStyle w:val="NoneA"/>
          <w:rFonts w:ascii="Georgia" w:hAnsi="Georgia"/>
          <w:color w:val="434343"/>
          <w:u w:color="434343"/>
        </w:rPr>
        <w:t xml:space="preserve"> and Yun</w:t>
      </w:r>
      <w:r w:rsidR="00284009">
        <w:rPr>
          <w:rStyle w:val="NoneA"/>
          <w:rFonts w:ascii="Georgia" w:hAnsi="Georgia"/>
          <w:color w:val="434343"/>
          <w:u w:color="434343"/>
        </w:rPr>
        <w:t>.</w:t>
      </w:r>
      <w:r w:rsidR="00A072C2">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"author" : [ { "dropping-particle" : "", "family" : "Sorcinelli", "given" : "Mary Deane", "non-dropping-particle" : "", "parse-names" : false, "suffix" : "" }, { "dropping-particle" : "", "family" : "Yun", "given" : "Jung", "non-dropping-particle" : "", "parse-names" : false, "suffix" : "" } ], "container-title" : "Change", "id" : "ITEM-1", "issue" : "6", "issued" : { "date-parts" : [ [ "2007" ] ] }, "page" : "58-61", "title" : "Resource Review: From Mentor to Mentoring Networks: Mentoring in the New Academy", "type" : "article-journal", "volume" : "39" }, "uris" : [ "http://www.mendeley.com/documents/?uuid=7fdbf265-00a4-351a-b6a9-c4c0040336be" ] } ], "mendeley" : { "formattedCitation" : "&lt;sup&gt;7&lt;/sup&gt;", "plainTextFormattedCitation" : "7", "previouslyFormattedCitation" : "[7]" }, "properties" : { "noteIndex" : 0 }, "schema" : "https://github.com/citation-style-language/schema/raw/master/csl-citation.json" }</w:instrText>
      </w:r>
      <w:r w:rsidR="00A072C2">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7</w:t>
      </w:r>
      <w:r w:rsidR="00A072C2">
        <w:rPr>
          <w:rStyle w:val="NoneA"/>
          <w:rFonts w:ascii="Georgia" w:hAnsi="Georgia"/>
          <w:color w:val="434343"/>
          <w:u w:color="434343"/>
        </w:rPr>
        <w:fldChar w:fldCharType="end"/>
      </w:r>
      <w:bookmarkStart w:id="5" w:name="_GoBack"/>
      <w:bookmarkEnd w:id="5"/>
    </w:p>
    <w:p w14:paraId="05D7174C" w14:textId="7516CDA0" w:rsidR="002B09AE" w:rsidRPr="006113B7" w:rsidRDefault="00A47637" w:rsidP="00701131">
      <w:pPr>
        <w:pStyle w:val="BodyA"/>
        <w:numPr>
          <w:ilvl w:val="0"/>
          <w:numId w:val="7"/>
        </w:numPr>
        <w:ind w:left="360"/>
        <w:rPr>
          <w:rStyle w:val="NoneA"/>
          <w:rFonts w:ascii="Georgia" w:hAnsi="Georgia"/>
          <w:color w:val="434343"/>
          <w:u w:color="434343"/>
        </w:rPr>
      </w:pPr>
      <w:r>
        <w:rPr>
          <w:rStyle w:val="NoneA"/>
          <w:rFonts w:ascii="Georgia" w:hAnsi="Georgia"/>
          <w:color w:val="434343"/>
          <w:u w:color="434343"/>
        </w:rPr>
        <w:t>G</w:t>
      </w:r>
      <w:r w:rsidR="007D79F4" w:rsidRPr="006113B7">
        <w:rPr>
          <w:rStyle w:val="NoneA"/>
          <w:rFonts w:ascii="Georgia" w:hAnsi="Georgia"/>
          <w:color w:val="434343"/>
          <w:u w:color="434343"/>
        </w:rPr>
        <w:t>uidelines</w:t>
      </w:r>
      <w:r>
        <w:rPr>
          <w:rStyle w:val="NoneA"/>
          <w:rFonts w:ascii="Georgia" w:hAnsi="Georgia"/>
          <w:color w:val="434343"/>
          <w:u w:color="434343"/>
        </w:rPr>
        <w:t xml:space="preserve"> should be established</w:t>
      </w:r>
      <w:r w:rsidR="007D79F4" w:rsidRPr="006113B7">
        <w:rPr>
          <w:rStyle w:val="NoneA"/>
          <w:rFonts w:ascii="Georgia" w:hAnsi="Georgia"/>
          <w:color w:val="434343"/>
          <w:u w:color="434343"/>
        </w:rPr>
        <w:t xml:space="preserve"> for collaboration</w:t>
      </w:r>
      <w:r w:rsidR="005808B5">
        <w:rPr>
          <w:rStyle w:val="NoneA"/>
          <w:rFonts w:ascii="Georgia" w:hAnsi="Georgia"/>
          <w:color w:val="434343"/>
          <w:u w:color="434343"/>
        </w:rPr>
        <w:t>,</w:t>
      </w:r>
      <w:r w:rsidR="007D79F4" w:rsidRPr="006113B7">
        <w:rPr>
          <w:rStyle w:val="NoneA"/>
          <w:rFonts w:ascii="Georgia" w:hAnsi="Georgia"/>
          <w:color w:val="434343"/>
          <w:u w:color="434343"/>
        </w:rPr>
        <w:t xml:space="preserve"> which can aid mentors and mentees in their interactions</w:t>
      </w:r>
      <w:r w:rsidR="005808B5">
        <w:rPr>
          <w:rStyle w:val="NoneA"/>
          <w:rFonts w:ascii="Georgia" w:hAnsi="Georgia"/>
          <w:color w:val="434343"/>
          <w:u w:color="434343"/>
        </w:rPr>
        <w:t xml:space="preserve">, and </w:t>
      </w:r>
      <w:r w:rsidR="007D79F4" w:rsidRPr="006113B7">
        <w:rPr>
          <w:rStyle w:val="NoneA"/>
          <w:rFonts w:ascii="Georgia" w:hAnsi="Georgia"/>
          <w:color w:val="434343"/>
          <w:u w:color="434343"/>
        </w:rPr>
        <w:t xml:space="preserve">training and </w:t>
      </w:r>
      <w:r w:rsidR="005808B5">
        <w:rPr>
          <w:rStyle w:val="NoneA"/>
          <w:rFonts w:ascii="Georgia" w:hAnsi="Georgia"/>
          <w:color w:val="434343"/>
          <w:u w:color="434343"/>
        </w:rPr>
        <w:t xml:space="preserve">guidance </w:t>
      </w:r>
      <w:r>
        <w:rPr>
          <w:rStyle w:val="NoneA"/>
          <w:rFonts w:ascii="Georgia" w:hAnsi="Georgia"/>
          <w:color w:val="434343"/>
          <w:u w:color="434343"/>
        </w:rPr>
        <w:t xml:space="preserve">should be provided </w:t>
      </w:r>
      <w:r w:rsidR="005808B5">
        <w:rPr>
          <w:rStyle w:val="NoneA"/>
          <w:rFonts w:ascii="Georgia" w:hAnsi="Georgia"/>
          <w:color w:val="434343"/>
          <w:u w:color="434343"/>
        </w:rPr>
        <w:t xml:space="preserve">on effective mentoring. Approaches must include </w:t>
      </w:r>
      <w:r w:rsidR="007D79F4" w:rsidRPr="006113B7">
        <w:rPr>
          <w:rStyle w:val="NoneA"/>
          <w:rFonts w:ascii="Georgia" w:hAnsi="Georgia"/>
          <w:color w:val="434343"/>
          <w:u w:color="434343"/>
        </w:rPr>
        <w:t>sens</w:t>
      </w:r>
      <w:r w:rsidR="009F3D68">
        <w:rPr>
          <w:rStyle w:val="NoneA"/>
          <w:rFonts w:ascii="Georgia" w:hAnsi="Georgia"/>
          <w:color w:val="434343"/>
          <w:u w:color="434343"/>
        </w:rPr>
        <w:t xml:space="preserve">itivity to diversity and equity. </w:t>
      </w:r>
    </w:p>
    <w:p w14:paraId="27A57E73" w14:textId="06DB780D" w:rsidR="002B09AE" w:rsidRDefault="005724CC" w:rsidP="00701131">
      <w:pPr>
        <w:pStyle w:val="BodyA"/>
        <w:numPr>
          <w:ilvl w:val="0"/>
          <w:numId w:val="7"/>
        </w:numPr>
        <w:ind w:left="360"/>
        <w:rPr>
          <w:rStyle w:val="NoneA"/>
          <w:rFonts w:ascii="Georgia" w:hAnsi="Georgia"/>
          <w:color w:val="434343"/>
          <w:u w:color="434343"/>
        </w:rPr>
      </w:pPr>
      <w:r>
        <w:rPr>
          <w:rStyle w:val="NoneA"/>
          <w:rFonts w:ascii="Georgia" w:hAnsi="Georgia"/>
          <w:color w:val="434343"/>
          <w:u w:color="434343"/>
        </w:rPr>
        <w:t>M</w:t>
      </w:r>
      <w:r w:rsidR="007D79F4" w:rsidRPr="006113B7">
        <w:rPr>
          <w:rStyle w:val="NoneA"/>
          <w:rFonts w:ascii="Georgia" w:hAnsi="Georgia"/>
          <w:color w:val="434343"/>
          <w:u w:color="434343"/>
        </w:rPr>
        <w:t xml:space="preserve">entoring </w:t>
      </w:r>
      <w:r w:rsidR="005808B5">
        <w:rPr>
          <w:rStyle w:val="NoneA"/>
          <w:rFonts w:ascii="Georgia" w:hAnsi="Georgia"/>
          <w:color w:val="434343"/>
          <w:u w:color="434343"/>
        </w:rPr>
        <w:t>involves</w:t>
      </w:r>
      <w:r w:rsidR="007D79F4" w:rsidRPr="006113B7">
        <w:rPr>
          <w:rStyle w:val="NoneA"/>
          <w:rFonts w:ascii="Georgia" w:hAnsi="Georgia"/>
          <w:color w:val="434343"/>
          <w:u w:color="434343"/>
        </w:rPr>
        <w:t xml:space="preserve"> commitment of time and effort</w:t>
      </w:r>
      <w:r w:rsidR="00A47637">
        <w:rPr>
          <w:rStyle w:val="NoneA"/>
          <w:rFonts w:ascii="Georgia" w:hAnsi="Georgia"/>
          <w:color w:val="434343"/>
          <w:u w:color="434343"/>
        </w:rPr>
        <w:t>,</w:t>
      </w:r>
      <w:r>
        <w:rPr>
          <w:rStyle w:val="NoneA"/>
          <w:rFonts w:ascii="Georgia" w:hAnsi="Georgia"/>
          <w:color w:val="434343"/>
          <w:u w:color="434343"/>
        </w:rPr>
        <w:t xml:space="preserve"> and</w:t>
      </w:r>
      <w:r w:rsidR="00C140A6">
        <w:rPr>
          <w:rStyle w:val="NoneA"/>
          <w:rFonts w:ascii="Georgia" w:hAnsi="Georgia"/>
          <w:color w:val="434343"/>
          <w:u w:color="434343"/>
        </w:rPr>
        <w:t xml:space="preserve"> </w:t>
      </w:r>
      <w:r w:rsidR="008D1DE5">
        <w:rPr>
          <w:rStyle w:val="NoneA"/>
          <w:rFonts w:ascii="Georgia" w:hAnsi="Georgia"/>
          <w:color w:val="434343"/>
          <w:u w:color="434343"/>
        </w:rPr>
        <w:t>it should be supported at an institutional level</w:t>
      </w:r>
      <w:r w:rsidR="007D79F4" w:rsidRPr="006113B7">
        <w:rPr>
          <w:rStyle w:val="NoneA"/>
          <w:rFonts w:ascii="Georgia" w:hAnsi="Georgia"/>
          <w:color w:val="434343"/>
          <w:u w:color="434343"/>
        </w:rPr>
        <w:t>.</w:t>
      </w:r>
      <w:r w:rsidR="006113B7" w:rsidRPr="006113B7">
        <w:rPr>
          <w:rStyle w:val="NoneA"/>
          <w:rFonts w:ascii="Georgia" w:hAnsi="Georgia"/>
          <w:color w:val="434343"/>
          <w:u w:color="434343"/>
        </w:rPr>
        <w:t xml:space="preserve"> </w:t>
      </w:r>
      <w:r w:rsidR="007D79F4" w:rsidRPr="006113B7">
        <w:rPr>
          <w:rStyle w:val="NoneA"/>
          <w:rFonts w:ascii="Georgia" w:hAnsi="Georgia"/>
          <w:color w:val="434343"/>
          <w:u w:color="434343"/>
        </w:rPr>
        <w:t>Mentoring should be acknowledged as part o</w:t>
      </w:r>
      <w:r w:rsidR="008D1DE5">
        <w:rPr>
          <w:rStyle w:val="NoneA"/>
          <w:rFonts w:ascii="Georgia" w:hAnsi="Georgia"/>
          <w:color w:val="434343"/>
          <w:u w:color="434343"/>
        </w:rPr>
        <w:t>f official work/service</w:t>
      </w:r>
      <w:r w:rsidR="007D79F4" w:rsidRPr="006113B7">
        <w:rPr>
          <w:rStyle w:val="NoneA"/>
          <w:rFonts w:ascii="Georgia" w:hAnsi="Georgia"/>
          <w:color w:val="434343"/>
          <w:u w:color="434343"/>
        </w:rPr>
        <w:t xml:space="preserve"> loads and be reflected in compensation packages, reduced workloads in other areas, performance eval</w:t>
      </w:r>
      <w:r w:rsidR="008D1DE5">
        <w:rPr>
          <w:rStyle w:val="NoneA"/>
          <w:rFonts w:ascii="Georgia" w:hAnsi="Georgia"/>
          <w:color w:val="434343"/>
          <w:u w:color="434343"/>
        </w:rPr>
        <w:t>uations, and promotion</w:t>
      </w:r>
      <w:r w:rsidR="007D79F4" w:rsidRPr="006113B7">
        <w:rPr>
          <w:rStyle w:val="NoneA"/>
          <w:rFonts w:ascii="Georgia" w:hAnsi="Georgia"/>
          <w:color w:val="434343"/>
          <w:u w:color="434343"/>
        </w:rPr>
        <w:t>.</w:t>
      </w:r>
    </w:p>
    <w:p w14:paraId="79077504" w14:textId="1520ACCD" w:rsidR="008D1DE5" w:rsidRPr="006113B7" w:rsidRDefault="008D1DE5" w:rsidP="00701131">
      <w:pPr>
        <w:pStyle w:val="BodyA"/>
        <w:numPr>
          <w:ilvl w:val="0"/>
          <w:numId w:val="7"/>
        </w:numPr>
        <w:ind w:left="360"/>
        <w:rPr>
          <w:rStyle w:val="NoneA"/>
          <w:rFonts w:ascii="Georgia" w:hAnsi="Georgia"/>
          <w:color w:val="434343"/>
          <w:u w:color="434343"/>
        </w:rPr>
      </w:pPr>
      <w:r>
        <w:rPr>
          <w:rStyle w:val="NoneA"/>
          <w:rFonts w:ascii="Georgia" w:hAnsi="Georgia"/>
          <w:color w:val="434343"/>
          <w:u w:color="434343"/>
        </w:rPr>
        <w:t xml:space="preserve">Mentoring </w:t>
      </w:r>
      <w:r w:rsidR="006837E0">
        <w:rPr>
          <w:rStyle w:val="NoneA"/>
          <w:rFonts w:ascii="Georgia" w:hAnsi="Georgia"/>
          <w:color w:val="434343"/>
          <w:u w:color="434343"/>
        </w:rPr>
        <w:t>mid-career faculty should differ from entry-level faculty</w:t>
      </w:r>
      <w:r w:rsidR="0065707B">
        <w:rPr>
          <w:rStyle w:val="NoneA"/>
          <w:rFonts w:ascii="Georgia" w:hAnsi="Georgia"/>
          <w:color w:val="434343"/>
          <w:u w:color="434343"/>
        </w:rPr>
        <w:t xml:space="preserve"> and focus on </w:t>
      </w:r>
      <w:r w:rsidR="006837E0">
        <w:rPr>
          <w:rStyle w:val="NoneA"/>
          <w:rFonts w:ascii="Georgia" w:hAnsi="Georgia"/>
          <w:color w:val="434343"/>
          <w:u w:color="434343"/>
        </w:rPr>
        <w:t>the specific needs of mid-career academics (especially tenured)</w:t>
      </w:r>
      <w:r w:rsidR="0065707B">
        <w:rPr>
          <w:rStyle w:val="NoneA"/>
          <w:rFonts w:ascii="Georgia" w:hAnsi="Georgia"/>
          <w:color w:val="434343"/>
          <w:u w:color="434343"/>
        </w:rPr>
        <w:t>. It</w:t>
      </w:r>
      <w:r w:rsidR="006837E0">
        <w:rPr>
          <w:rStyle w:val="NoneA"/>
          <w:rFonts w:ascii="Georgia" w:hAnsi="Georgia"/>
          <w:color w:val="434343"/>
          <w:u w:color="434343"/>
        </w:rPr>
        <w:t xml:space="preserve"> ideally should begin </w:t>
      </w:r>
      <w:r w:rsidR="005724CC">
        <w:rPr>
          <w:rStyle w:val="NoneA"/>
          <w:rFonts w:ascii="Georgia" w:hAnsi="Georgia"/>
          <w:color w:val="434343"/>
          <w:u w:color="434343"/>
        </w:rPr>
        <w:t>when faculty achieve</w:t>
      </w:r>
      <w:r w:rsidR="006837E0">
        <w:rPr>
          <w:rStyle w:val="NoneA"/>
          <w:rFonts w:ascii="Georgia" w:hAnsi="Georgia"/>
          <w:color w:val="434343"/>
          <w:u w:color="434343"/>
        </w:rPr>
        <w:t xml:space="preserve"> Associate Professorship</w:t>
      </w:r>
      <w:r w:rsidR="008A0770">
        <w:rPr>
          <w:rStyle w:val="NoneA"/>
          <w:rFonts w:ascii="Georgia" w:hAnsi="Georgia"/>
          <w:color w:val="434343"/>
          <w:u w:color="434343"/>
        </w:rPr>
        <w:t>.</w:t>
      </w:r>
      <w:r w:rsidR="006837E0">
        <w:rPr>
          <w:rStyle w:val="NoneA"/>
          <w:rFonts w:ascii="Georgia" w:hAnsi="Georgia"/>
          <w:color w:val="434343"/>
          <w:u w:color="434343"/>
        </w:rPr>
        <w:fldChar w:fldCharType="begin" w:fldLock="1"/>
      </w:r>
      <w:r w:rsidR="00A072C2">
        <w:rPr>
          <w:rStyle w:val="NoneA"/>
          <w:rFonts w:ascii="Georgia" w:hAnsi="Georgia"/>
          <w:color w:val="434343"/>
          <w:u w:color="434343"/>
        </w:rPr>
        <w:instrText>ADDIN CSL_CITATION { "citationItems" : [ { "id" : "ITEM-1", "itemData" : { "author" : [ { "dropping-particle" : "", "family" : "Notkin", "given" : "David", "non-dropping-particle" : "", "parse-names" : false, "suffix" : "" } ], "container-title" : "ADVANCE National Leadership Workshop", "id" : "ITEM-1", "issued" : { "date-parts" : [ [ "2005" ] ] }, "title" : "Faculty Mentoring", "type" : "paper-conference" }, "uris" : [ "http://www.mendeley.com/documents/?uuid=e6fbcf23-2bb4-32d9-aa7f-1f0bc6dc6082" ] } ], "mendeley" : { "formattedCitation" : "&lt;sup&gt;2&lt;/sup&gt;", "plainTextFormattedCitation" : "2", "previouslyFormattedCitation" : "[2]" }, "properties" : { "noteIndex" : 0 }, "schema" : "https://github.com/citation-style-language/schema/raw/master/csl-citation.json" }</w:instrText>
      </w:r>
      <w:r w:rsidR="006837E0">
        <w:rPr>
          <w:rStyle w:val="NoneA"/>
          <w:rFonts w:ascii="Georgia" w:hAnsi="Georgia"/>
          <w:color w:val="434343"/>
          <w:u w:color="434343"/>
        </w:rPr>
        <w:fldChar w:fldCharType="separate"/>
      </w:r>
      <w:r w:rsidR="00A072C2" w:rsidRPr="00A072C2">
        <w:rPr>
          <w:rStyle w:val="NoneA"/>
          <w:rFonts w:ascii="Georgia" w:hAnsi="Georgia"/>
          <w:noProof/>
          <w:color w:val="434343"/>
          <w:u w:color="434343"/>
          <w:vertAlign w:val="superscript"/>
        </w:rPr>
        <w:t>2</w:t>
      </w:r>
      <w:r w:rsidR="006837E0">
        <w:rPr>
          <w:rStyle w:val="NoneA"/>
          <w:rFonts w:ascii="Georgia" w:hAnsi="Georgia"/>
          <w:color w:val="434343"/>
          <w:u w:color="434343"/>
        </w:rPr>
        <w:fldChar w:fldCharType="end"/>
      </w:r>
      <w:r w:rsidR="006837E0">
        <w:rPr>
          <w:rStyle w:val="NoneA"/>
          <w:rFonts w:ascii="Georgia" w:hAnsi="Georgia"/>
          <w:color w:val="434343"/>
          <w:u w:color="434343"/>
        </w:rPr>
        <w:t xml:space="preserve"> </w:t>
      </w:r>
      <w:r w:rsidR="00A70B37">
        <w:rPr>
          <w:rStyle w:val="NoneA"/>
          <w:rFonts w:ascii="Georgia" w:hAnsi="Georgia"/>
          <w:color w:val="434343"/>
          <w:u w:color="434343"/>
        </w:rPr>
        <w:t xml:space="preserve">Department </w:t>
      </w:r>
      <w:r w:rsidR="0065707B">
        <w:rPr>
          <w:rStyle w:val="NoneA"/>
          <w:rFonts w:ascii="Georgia" w:hAnsi="Georgia"/>
          <w:color w:val="434343"/>
          <w:u w:color="434343"/>
        </w:rPr>
        <w:t xml:space="preserve">chairs </w:t>
      </w:r>
      <w:r w:rsidR="00A70B37">
        <w:rPr>
          <w:rStyle w:val="NoneA"/>
          <w:rFonts w:ascii="Georgia" w:hAnsi="Georgia"/>
          <w:color w:val="434343"/>
          <w:u w:color="434343"/>
        </w:rPr>
        <w:t>should seek to create broad diverse pools of mentors</w:t>
      </w:r>
      <w:r w:rsidR="00E221CF">
        <w:rPr>
          <w:rStyle w:val="NoneA"/>
          <w:rFonts w:ascii="Georgia" w:hAnsi="Georgia"/>
          <w:color w:val="434343"/>
          <w:u w:color="434343"/>
        </w:rPr>
        <w:t>/mentees</w:t>
      </w:r>
      <w:r w:rsidR="00A70B37">
        <w:rPr>
          <w:rStyle w:val="NoneA"/>
          <w:rFonts w:ascii="Georgia" w:hAnsi="Georgia"/>
          <w:color w:val="434343"/>
          <w:u w:color="434343"/>
        </w:rPr>
        <w:t xml:space="preserve"> and actively engage and incentivize mentors with </w:t>
      </w:r>
      <w:r w:rsidR="00E221CF">
        <w:rPr>
          <w:rStyle w:val="NoneA"/>
          <w:rFonts w:ascii="Georgia" w:hAnsi="Georgia"/>
          <w:color w:val="434343"/>
          <w:u w:color="434343"/>
        </w:rPr>
        <w:t>resources to promote success in</w:t>
      </w:r>
      <w:r w:rsidR="00A70B37">
        <w:rPr>
          <w:rStyle w:val="NoneA"/>
          <w:rFonts w:ascii="Georgia" w:hAnsi="Georgia"/>
          <w:color w:val="434343"/>
          <w:u w:color="434343"/>
        </w:rPr>
        <w:t xml:space="preserve"> combatting mid-ca</w:t>
      </w:r>
      <w:r w:rsidR="00E221CF">
        <w:rPr>
          <w:rStyle w:val="NoneA"/>
          <w:rFonts w:ascii="Georgia" w:hAnsi="Georgia"/>
          <w:color w:val="434343"/>
          <w:u w:color="434343"/>
        </w:rPr>
        <w:t>reer malaise</w:t>
      </w:r>
      <w:r w:rsidR="00A70B37">
        <w:rPr>
          <w:rStyle w:val="NoneA"/>
          <w:rFonts w:ascii="Georgia" w:hAnsi="Georgia"/>
          <w:color w:val="434343"/>
          <w:u w:color="434343"/>
        </w:rPr>
        <w:t xml:space="preserve">. </w:t>
      </w:r>
    </w:p>
    <w:p w14:paraId="508F5BEB" w14:textId="77777777" w:rsidR="00337A0A" w:rsidRDefault="00337A0A" w:rsidP="00337A0A">
      <w:pPr>
        <w:pStyle w:val="BodyA"/>
        <w:spacing w:line="288" w:lineRule="auto"/>
        <w:ind w:left="360"/>
        <w:rPr>
          <w:rStyle w:val="NoneA"/>
          <w:rFonts w:ascii="Georgia" w:eastAsia="Georgia" w:hAnsi="Georgia" w:cs="Georgia"/>
          <w:color w:val="434343"/>
        </w:rPr>
      </w:pPr>
    </w:p>
    <w:tbl>
      <w:tblPr>
        <w:tblW w:w="936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360"/>
      </w:tblGrid>
      <w:tr w:rsidR="00337A0A" w14:paraId="1C0637E0" w14:textId="77777777" w:rsidTr="00337A0A">
        <w:trPr>
          <w:trHeight w:val="2085"/>
        </w:trPr>
        <w:tc>
          <w:tcPr>
            <w:tcW w:w="9360" w:type="dxa"/>
            <w:tcBorders>
              <w:top w:val="single" w:sz="18" w:space="0" w:color="9BC331"/>
              <w:left w:val="single" w:sz="18" w:space="0" w:color="9BC331"/>
              <w:bottom w:val="single" w:sz="18" w:space="0" w:color="9BC331"/>
              <w:right w:val="single" w:sz="18" w:space="0" w:color="9BC331"/>
            </w:tcBorders>
            <w:shd w:val="clear" w:color="auto" w:fill="auto"/>
            <w:tcMar>
              <w:top w:w="80" w:type="dxa"/>
              <w:left w:w="80" w:type="dxa"/>
              <w:bottom w:w="80" w:type="dxa"/>
              <w:right w:w="80" w:type="dxa"/>
            </w:tcMar>
            <w:hideMark/>
          </w:tcPr>
          <w:p w14:paraId="26C6174C" w14:textId="3894DB4D" w:rsidR="00337A0A" w:rsidRDefault="00337A0A">
            <w:pPr>
              <w:pStyle w:val="BodyA"/>
              <w:spacing w:line="288" w:lineRule="auto"/>
              <w:rPr>
                <w:rStyle w:val="NoneA"/>
                <w:rFonts w:ascii="Arial" w:eastAsia="Arial" w:hAnsi="Arial" w:cs="Arial"/>
                <w:b/>
                <w:bCs/>
                <w:color w:val="652C90"/>
                <w:sz w:val="28"/>
                <w:szCs w:val="28"/>
              </w:rPr>
            </w:pPr>
            <w:r>
              <w:rPr>
                <w:rStyle w:val="NoneA"/>
                <w:rFonts w:ascii="Arial" w:hAnsi="Arial"/>
                <w:b/>
                <w:bCs/>
                <w:color w:val="652C90"/>
                <w:sz w:val="28"/>
                <w:szCs w:val="28"/>
              </w:rPr>
              <w:t>Discussion Questions</w:t>
            </w:r>
          </w:p>
          <w:p w14:paraId="2F9B4C62" w14:textId="2191E2EE" w:rsidR="00931BF0" w:rsidRPr="00AB4094" w:rsidRDefault="0065707B" w:rsidP="00AB4094">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420"/>
              <w:rPr>
                <w:rStyle w:val="NoneA"/>
                <w:rFonts w:ascii="Georgia" w:eastAsia="Arial" w:hAnsi="Georgia" w:cs="Arial"/>
              </w:rPr>
            </w:pPr>
            <w:r w:rsidRPr="00AB4094">
              <w:rPr>
                <w:rStyle w:val="NoneA"/>
                <w:rFonts w:ascii="Georgia" w:hAnsi="Georgia"/>
              </w:rPr>
              <w:t>What professional development topics</w:t>
            </w:r>
            <w:r w:rsidR="005724CC">
              <w:rPr>
                <w:rStyle w:val="NoneA"/>
                <w:rFonts w:ascii="Georgia" w:hAnsi="Georgia"/>
              </w:rPr>
              <w:t xml:space="preserve">/issues </w:t>
            </w:r>
            <w:r w:rsidRPr="00AB4094">
              <w:rPr>
                <w:rStyle w:val="NoneA"/>
                <w:rFonts w:ascii="Georgia" w:hAnsi="Georgia"/>
              </w:rPr>
              <w:t xml:space="preserve">would interest </w:t>
            </w:r>
            <w:r w:rsidR="00931BF0" w:rsidRPr="00AB4094">
              <w:rPr>
                <w:rStyle w:val="NoneA"/>
                <w:rFonts w:ascii="Georgia" w:hAnsi="Georgia"/>
              </w:rPr>
              <w:t xml:space="preserve">all </w:t>
            </w:r>
            <w:r w:rsidRPr="00AB4094">
              <w:rPr>
                <w:rStyle w:val="NoneA"/>
                <w:rFonts w:ascii="Georgia" w:hAnsi="Georgia"/>
              </w:rPr>
              <w:t>mid-career faculty?</w:t>
            </w:r>
            <w:r w:rsidR="00931BF0" w:rsidRPr="00AB4094">
              <w:rPr>
                <w:rStyle w:val="NoneA"/>
                <w:rFonts w:ascii="Georgia" w:hAnsi="Georgia"/>
              </w:rPr>
              <w:t xml:space="preserve"> How might the issues </w:t>
            </w:r>
            <w:r w:rsidR="009F715F" w:rsidRPr="00AB4094">
              <w:rPr>
                <w:rStyle w:val="NoneA"/>
                <w:rFonts w:ascii="Georgia" w:hAnsi="Georgia"/>
              </w:rPr>
              <w:t>be different</w:t>
            </w:r>
            <w:r w:rsidR="00931BF0" w:rsidRPr="00AB4094">
              <w:rPr>
                <w:rStyle w:val="NoneA"/>
                <w:rFonts w:ascii="Georgia" w:hAnsi="Georgia"/>
              </w:rPr>
              <w:t xml:space="preserve"> for mid-career women and URM faculty? </w:t>
            </w:r>
          </w:p>
          <w:p w14:paraId="60BA7C48" w14:textId="68096EE2" w:rsidR="00337A0A" w:rsidRPr="00AB4094" w:rsidRDefault="0065707B" w:rsidP="00AB4094">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420"/>
              <w:rPr>
                <w:rStyle w:val="NoneA"/>
                <w:rFonts w:ascii="Georgia" w:eastAsia="Arial" w:hAnsi="Georgia" w:cs="Arial"/>
              </w:rPr>
            </w:pPr>
            <w:r w:rsidRPr="00AB4094">
              <w:rPr>
                <w:rStyle w:val="NoneA"/>
                <w:rFonts w:ascii="Georgia" w:hAnsi="Georgia"/>
              </w:rPr>
              <w:t>How can your department create a wider variety of opportunities to address the diverse needs of mid-career faculty?</w:t>
            </w:r>
          </w:p>
          <w:p w14:paraId="4019243C" w14:textId="74BB8F9C" w:rsidR="00337A0A" w:rsidRPr="00AB4094" w:rsidRDefault="00337A0A" w:rsidP="00AB4094">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420"/>
              <w:rPr>
                <w:rStyle w:val="NoneA"/>
                <w:rFonts w:ascii="Georgia" w:hAnsi="Georgia"/>
              </w:rPr>
            </w:pPr>
            <w:r w:rsidRPr="00AB4094">
              <w:rPr>
                <w:rStyle w:val="NoneA"/>
                <w:rFonts w:ascii="Georgia" w:hAnsi="Georgia"/>
              </w:rPr>
              <w:t>What topics should be addressed in training to help mentors be more effective</w:t>
            </w:r>
            <w:r w:rsidR="0065707B" w:rsidRPr="00AB4094">
              <w:rPr>
                <w:rStyle w:val="NoneA"/>
                <w:rFonts w:ascii="Georgia" w:hAnsi="Georgia"/>
              </w:rPr>
              <w:t xml:space="preserve"> with mid-career faculty</w:t>
            </w:r>
            <w:r w:rsidRPr="00AB4094">
              <w:rPr>
                <w:rStyle w:val="NoneA"/>
                <w:rFonts w:ascii="Georgia" w:hAnsi="Georgia"/>
              </w:rPr>
              <w:t>?</w:t>
            </w:r>
          </w:p>
          <w:p w14:paraId="6D3EC486" w14:textId="65E6F31C" w:rsidR="003246A1" w:rsidRDefault="003246A1" w:rsidP="00AB4094">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420"/>
            </w:pPr>
            <w:r w:rsidRPr="00AB4094">
              <w:rPr>
                <w:rStyle w:val="NoneA"/>
                <w:rFonts w:ascii="Georgia" w:hAnsi="Georgia"/>
              </w:rPr>
              <w:t>What are some alternatives to the 1:1 mentor matching model your institution could use to support mid-career faculty?</w:t>
            </w:r>
          </w:p>
        </w:tc>
      </w:tr>
    </w:tbl>
    <w:p w14:paraId="76C25592" w14:textId="77777777" w:rsidR="005A71E4" w:rsidRDefault="005A71E4" w:rsidP="00337A0A">
      <w:pPr>
        <w:pStyle w:val="Heading2"/>
        <w:keepLines/>
        <w:spacing w:before="200" w:line="288" w:lineRule="auto"/>
        <w:rPr>
          <w:rStyle w:val="NoneA"/>
          <w:rFonts w:ascii="Georgia" w:eastAsia="Georgia" w:hAnsi="Georgia" w:cs="Georgia"/>
          <w:color w:val="652C90"/>
          <w:sz w:val="16"/>
          <w:szCs w:val="16"/>
        </w:rPr>
      </w:pPr>
      <w:bookmarkStart w:id="6" w:name="hf793oth9wmh7"/>
    </w:p>
    <w:p w14:paraId="7CC0BB23" w14:textId="77777777" w:rsidR="00337A0A" w:rsidRDefault="00337A0A" w:rsidP="00337A0A">
      <w:pPr>
        <w:pStyle w:val="BodyA"/>
        <w:spacing w:line="288" w:lineRule="auto"/>
        <w:rPr>
          <w:rStyle w:val="NoneA"/>
          <w:rFonts w:ascii="Arial" w:eastAsia="Arial" w:hAnsi="Arial" w:cs="Arial"/>
          <w:color w:val="434343"/>
          <w:sz w:val="20"/>
          <w:szCs w:val="20"/>
        </w:rPr>
      </w:pPr>
      <w:r>
        <w:rPr>
          <w:rStyle w:val="NoneA"/>
          <w:rFonts w:ascii="Arial" w:hAnsi="Arial"/>
          <w:b/>
          <w:bCs/>
          <w:color w:val="652C90"/>
          <w:sz w:val="20"/>
          <w:szCs w:val="20"/>
        </w:rPr>
        <w:t>Additional Resources</w:t>
      </w:r>
    </w:p>
    <w:p w14:paraId="08D819FD" w14:textId="336B8FF9" w:rsidR="00337A0A" w:rsidRPr="00AE40FC" w:rsidRDefault="00337A0A" w:rsidP="00AD2472">
      <w:pPr>
        <w:pStyle w:val="BodyA"/>
        <w:spacing w:line="288" w:lineRule="auto"/>
        <w:ind w:left="446" w:hanging="446"/>
        <w:rPr>
          <w:rStyle w:val="NoneA"/>
          <w:rFonts w:ascii="Georgia" w:eastAsia="Georgia" w:hAnsi="Georgia" w:cs="Georgia"/>
          <w:color w:val="535353" w:themeColor="background2"/>
          <w:sz w:val="16"/>
          <w:szCs w:val="16"/>
        </w:rPr>
      </w:pPr>
      <w:r w:rsidRPr="00AE40FC">
        <w:rPr>
          <w:rStyle w:val="NoneA"/>
          <w:rFonts w:ascii="Georgia" w:hAnsi="Georgia"/>
          <w:color w:val="535353" w:themeColor="background2"/>
          <w:sz w:val="16"/>
          <w:szCs w:val="16"/>
        </w:rPr>
        <w:t xml:space="preserve">University of Washington ADVANCE Mentoring Resources: </w:t>
      </w:r>
      <w:r w:rsidR="00AD2472" w:rsidRPr="00AE40FC">
        <w:rPr>
          <w:rStyle w:val="NoneA"/>
          <w:rFonts w:ascii="Georgia" w:hAnsi="Georgia"/>
          <w:color w:val="535353" w:themeColor="background2"/>
          <w:sz w:val="16"/>
          <w:szCs w:val="16"/>
        </w:rPr>
        <w:t>https://advance.washington.edu/additionalresources/mentoring.html</w:t>
      </w:r>
    </w:p>
    <w:p w14:paraId="43F1CD25" w14:textId="08CB8C38" w:rsidR="00337A0A" w:rsidRPr="00AE40FC" w:rsidRDefault="00337A0A" w:rsidP="00337A0A">
      <w:pPr>
        <w:pStyle w:val="BodyA"/>
        <w:spacing w:line="288" w:lineRule="auto"/>
        <w:ind w:left="446" w:hanging="446"/>
        <w:rPr>
          <w:rStyle w:val="NoneA"/>
          <w:rFonts w:ascii="Georgia" w:hAnsi="Georgia"/>
          <w:color w:val="535353" w:themeColor="background2"/>
          <w:sz w:val="16"/>
          <w:szCs w:val="16"/>
        </w:rPr>
      </w:pPr>
      <w:r w:rsidRPr="00AE40FC">
        <w:rPr>
          <w:rStyle w:val="NoneA"/>
          <w:rFonts w:ascii="Georgia" w:hAnsi="Georgia"/>
          <w:color w:val="535353" w:themeColor="background2"/>
          <w:sz w:val="16"/>
          <w:szCs w:val="16"/>
        </w:rPr>
        <w:t xml:space="preserve">University of Michigan Center for Research on Learning and Teaching Resources on Faculty Mentoring: </w:t>
      </w:r>
      <w:hyperlink r:id="rId8" w:history="1">
        <w:r w:rsidR="00AD2472" w:rsidRPr="00AE40FC">
          <w:rPr>
            <w:rStyle w:val="Hyperlink"/>
            <w:rFonts w:ascii="Georgia" w:hAnsi="Georgia"/>
            <w:color w:val="535353" w:themeColor="background2"/>
            <w:sz w:val="16"/>
            <w:szCs w:val="16"/>
          </w:rPr>
          <w:t>http://www.crlt.umich.edu/faculty/facment</w:t>
        </w:r>
      </w:hyperlink>
      <w:bookmarkEnd w:id="6"/>
    </w:p>
    <w:p w14:paraId="407F08EA" w14:textId="11E3F415" w:rsidR="00AD2472" w:rsidRPr="00AE40FC" w:rsidRDefault="00AD2472" w:rsidP="00337A0A">
      <w:pPr>
        <w:pStyle w:val="BodyA"/>
        <w:spacing w:line="288" w:lineRule="auto"/>
        <w:ind w:left="446" w:hanging="446"/>
        <w:rPr>
          <w:rStyle w:val="NoneA"/>
          <w:rFonts w:ascii="Georgia" w:eastAsia="Georgia" w:hAnsi="Georgia" w:cs="Georgia"/>
          <w:color w:val="535353" w:themeColor="background2"/>
          <w:sz w:val="16"/>
          <w:szCs w:val="16"/>
        </w:rPr>
      </w:pPr>
      <w:r w:rsidRPr="00AE40FC">
        <w:rPr>
          <w:rStyle w:val="NoneA"/>
          <w:rFonts w:ascii="Georgia" w:hAnsi="Georgia"/>
          <w:color w:val="535353" w:themeColor="background2"/>
          <w:sz w:val="16"/>
          <w:szCs w:val="16"/>
        </w:rPr>
        <w:t>ADVANCE National Leadership Workshop presentation 2005 http://advance.washington.edu/apps/resources/docs/Notkin_Natl_2005.pdf</w:t>
      </w:r>
    </w:p>
    <w:p w14:paraId="1BFE0EEF" w14:textId="69EAC72D" w:rsidR="002B09AE" w:rsidRDefault="007D79F4">
      <w:pPr>
        <w:pStyle w:val="Heading2"/>
        <w:keepLines/>
        <w:spacing w:before="200" w:line="288" w:lineRule="auto"/>
        <w:rPr>
          <w:rStyle w:val="NoneA"/>
          <w:rFonts w:ascii="Arial" w:hAnsi="Arial"/>
          <w:color w:val="652C90"/>
          <w:sz w:val="20"/>
          <w:szCs w:val="20"/>
          <w:u w:color="652C90"/>
        </w:rPr>
      </w:pPr>
      <w:r>
        <w:rPr>
          <w:rStyle w:val="NoneA"/>
          <w:rFonts w:ascii="Arial" w:hAnsi="Arial"/>
          <w:color w:val="652C90"/>
          <w:sz w:val="20"/>
          <w:szCs w:val="20"/>
          <w:u w:color="652C90"/>
        </w:rPr>
        <w:t>References</w:t>
      </w:r>
    </w:p>
    <w:p w14:paraId="5E846833" w14:textId="45DB6D83" w:rsidR="00A072C2" w:rsidRPr="00AE40FC" w:rsidRDefault="00243101"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hAnsi="Georgia"/>
          <w:color w:val="535353" w:themeColor="background2"/>
          <w:sz w:val="16"/>
          <w:szCs w:val="16"/>
        </w:rPr>
        <w:fldChar w:fldCharType="begin" w:fldLock="1"/>
      </w:r>
      <w:r w:rsidRPr="00AE40FC">
        <w:rPr>
          <w:rFonts w:ascii="Georgia" w:hAnsi="Georgia"/>
          <w:color w:val="535353" w:themeColor="background2"/>
          <w:sz w:val="16"/>
          <w:szCs w:val="16"/>
        </w:rPr>
        <w:instrText xml:space="preserve">ADDIN Mendeley Bibliography CSL_BIBLIOGRAPHY </w:instrText>
      </w:r>
      <w:r w:rsidRPr="00AE40FC">
        <w:rPr>
          <w:rFonts w:ascii="Georgia" w:hAnsi="Georgia"/>
          <w:color w:val="535353" w:themeColor="background2"/>
          <w:sz w:val="16"/>
          <w:szCs w:val="16"/>
        </w:rPr>
        <w:fldChar w:fldCharType="separate"/>
      </w:r>
      <w:r w:rsidR="00A072C2" w:rsidRPr="00AE40FC">
        <w:rPr>
          <w:rFonts w:ascii="Georgia" w:eastAsia="Times New Roman" w:hAnsi="Georgia"/>
          <w:noProof/>
          <w:color w:val="535353" w:themeColor="background2"/>
          <w:sz w:val="16"/>
          <w:szCs w:val="16"/>
          <w:vertAlign w:val="superscript"/>
          <w:lang w:eastAsia="zh-CN"/>
        </w:rPr>
        <w:t xml:space="preserve">1. </w:t>
      </w:r>
      <w:r w:rsidR="00A072C2" w:rsidRPr="00AE40FC">
        <w:rPr>
          <w:rFonts w:ascii="Georgia" w:eastAsia="Times New Roman" w:hAnsi="Georgia"/>
          <w:noProof/>
          <w:color w:val="535353" w:themeColor="background2"/>
          <w:sz w:val="16"/>
          <w:szCs w:val="16"/>
          <w:lang w:eastAsia="zh-CN"/>
        </w:rPr>
        <w:tab/>
        <w:t xml:space="preserve">Strage A, Merdinger J. Professional Growth and Renewal for Mid-Career Faculty. </w:t>
      </w:r>
      <w:r w:rsidR="00A072C2" w:rsidRPr="00AE40FC">
        <w:rPr>
          <w:rFonts w:ascii="Georgia" w:eastAsia="Times New Roman" w:hAnsi="Georgia"/>
          <w:i/>
          <w:iCs/>
          <w:noProof/>
          <w:color w:val="535353" w:themeColor="background2"/>
          <w:sz w:val="16"/>
          <w:szCs w:val="16"/>
          <w:lang w:eastAsia="zh-CN"/>
        </w:rPr>
        <w:t>J Fac Dev</w:t>
      </w:r>
      <w:r w:rsidR="00A072C2" w:rsidRPr="00AE40FC">
        <w:rPr>
          <w:rFonts w:ascii="Georgia" w:eastAsia="Times New Roman" w:hAnsi="Georgia"/>
          <w:noProof/>
          <w:color w:val="535353" w:themeColor="background2"/>
          <w:sz w:val="16"/>
          <w:szCs w:val="16"/>
          <w:lang w:eastAsia="zh-CN"/>
        </w:rPr>
        <w:t>. 2015;29(1):41-50.</w:t>
      </w:r>
    </w:p>
    <w:p w14:paraId="189E55A8" w14:textId="5A815AFE"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eastAsia="Times New Roman" w:hAnsi="Georgia"/>
          <w:noProof/>
          <w:color w:val="535353" w:themeColor="background2"/>
          <w:sz w:val="16"/>
          <w:szCs w:val="16"/>
          <w:vertAlign w:val="superscript"/>
          <w:lang w:eastAsia="zh-CN"/>
        </w:rPr>
        <w:t xml:space="preserve">2. </w:t>
      </w:r>
      <w:r w:rsidRPr="00AE40FC">
        <w:rPr>
          <w:rFonts w:ascii="Georgia" w:eastAsia="Times New Roman" w:hAnsi="Georgia"/>
          <w:noProof/>
          <w:color w:val="535353" w:themeColor="background2"/>
          <w:sz w:val="16"/>
          <w:szCs w:val="16"/>
          <w:lang w:eastAsia="zh-CN"/>
        </w:rPr>
        <w:tab/>
        <w:t xml:space="preserve">Notkin D. Faculty Mentoring. In: </w:t>
      </w:r>
      <w:r w:rsidRPr="00AE40FC">
        <w:rPr>
          <w:rFonts w:ascii="Georgia" w:eastAsia="Times New Roman" w:hAnsi="Georgia"/>
          <w:i/>
          <w:iCs/>
          <w:noProof/>
          <w:color w:val="535353" w:themeColor="background2"/>
          <w:sz w:val="16"/>
          <w:szCs w:val="16"/>
          <w:lang w:eastAsia="zh-CN"/>
        </w:rPr>
        <w:t>ADVANCE National Leadership Workshop</w:t>
      </w:r>
      <w:r w:rsidRPr="00AE40FC">
        <w:rPr>
          <w:rFonts w:ascii="Georgia" w:eastAsia="Times New Roman" w:hAnsi="Georgia"/>
          <w:noProof/>
          <w:color w:val="535353" w:themeColor="background2"/>
          <w:sz w:val="16"/>
          <w:szCs w:val="16"/>
          <w:lang w:eastAsia="zh-CN"/>
        </w:rPr>
        <w:t>.; 2005. https://advance.washington.edu/resources/docs/Notkin_Natl_2005.pdf. Accessed September 4, 2017.</w:t>
      </w:r>
    </w:p>
    <w:p w14:paraId="0D48BB71" w14:textId="77777777"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val="da-DK" w:eastAsia="zh-CN"/>
        </w:rPr>
      </w:pPr>
      <w:r w:rsidRPr="00AE40FC">
        <w:rPr>
          <w:rFonts w:ascii="Georgia" w:eastAsia="Times New Roman" w:hAnsi="Georgia"/>
          <w:noProof/>
          <w:color w:val="535353" w:themeColor="background2"/>
          <w:sz w:val="16"/>
          <w:szCs w:val="16"/>
          <w:vertAlign w:val="superscript"/>
          <w:lang w:eastAsia="zh-CN"/>
        </w:rPr>
        <w:t xml:space="preserve">3. </w:t>
      </w:r>
      <w:r w:rsidRPr="00AE40FC">
        <w:rPr>
          <w:rFonts w:ascii="Georgia" w:eastAsia="Times New Roman" w:hAnsi="Georgia"/>
          <w:noProof/>
          <w:color w:val="535353" w:themeColor="background2"/>
          <w:sz w:val="16"/>
          <w:szCs w:val="16"/>
          <w:lang w:eastAsia="zh-CN"/>
        </w:rPr>
        <w:tab/>
        <w:t xml:space="preserve">Taylor O, Apprey CB, Hill G, McGrann L, Wang J. Diversifying the Faculty | Association of American Colleges &amp;amp; Universities. </w:t>
      </w:r>
      <w:r w:rsidRPr="00AE40FC">
        <w:rPr>
          <w:rFonts w:ascii="Georgia" w:eastAsia="Times New Roman" w:hAnsi="Georgia"/>
          <w:i/>
          <w:iCs/>
          <w:noProof/>
          <w:color w:val="535353" w:themeColor="background2"/>
          <w:sz w:val="16"/>
          <w:szCs w:val="16"/>
          <w:lang w:val="da-DK" w:eastAsia="zh-CN"/>
        </w:rPr>
        <w:t>Peer Rev</w:t>
      </w:r>
      <w:r w:rsidRPr="00AE40FC">
        <w:rPr>
          <w:rFonts w:ascii="Georgia" w:eastAsia="Times New Roman" w:hAnsi="Georgia"/>
          <w:noProof/>
          <w:color w:val="535353" w:themeColor="background2"/>
          <w:sz w:val="16"/>
          <w:szCs w:val="16"/>
          <w:lang w:val="da-DK" w:eastAsia="zh-CN"/>
        </w:rPr>
        <w:t>. 2010;12(3). doi:https://www.aacu.org/publications-research/periodicals/diversifying-faculty.</w:t>
      </w:r>
    </w:p>
    <w:p w14:paraId="3A4B9460" w14:textId="77777777"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eastAsia="Times New Roman" w:hAnsi="Georgia"/>
          <w:noProof/>
          <w:color w:val="535353" w:themeColor="background2"/>
          <w:sz w:val="16"/>
          <w:szCs w:val="16"/>
          <w:vertAlign w:val="superscript"/>
          <w:lang w:eastAsia="zh-CN"/>
        </w:rPr>
        <w:t xml:space="preserve">4. </w:t>
      </w:r>
      <w:r w:rsidRPr="00AE40FC">
        <w:rPr>
          <w:rFonts w:ascii="Georgia" w:eastAsia="Times New Roman" w:hAnsi="Georgia"/>
          <w:noProof/>
          <w:color w:val="535353" w:themeColor="background2"/>
          <w:sz w:val="16"/>
          <w:szCs w:val="16"/>
          <w:lang w:eastAsia="zh-CN"/>
        </w:rPr>
        <w:tab/>
        <w:t xml:space="preserve">Murakami ET, Núñez A-M. Latina Faculty Transcending Barriers: Peer Mentoring in a Hispanic-serving Institution. </w:t>
      </w:r>
      <w:r w:rsidRPr="00AE40FC">
        <w:rPr>
          <w:rFonts w:ascii="Georgia" w:eastAsia="Times New Roman" w:hAnsi="Georgia"/>
          <w:i/>
          <w:iCs/>
          <w:noProof/>
          <w:color w:val="535353" w:themeColor="background2"/>
          <w:sz w:val="16"/>
          <w:szCs w:val="16"/>
          <w:lang w:eastAsia="zh-CN"/>
        </w:rPr>
        <w:t>Mentor Tutoring Partnersh Learn</w:t>
      </w:r>
      <w:r w:rsidRPr="00AE40FC">
        <w:rPr>
          <w:rFonts w:ascii="Georgia" w:eastAsia="Times New Roman" w:hAnsi="Georgia"/>
          <w:noProof/>
          <w:color w:val="535353" w:themeColor="background2"/>
          <w:sz w:val="16"/>
          <w:szCs w:val="16"/>
          <w:lang w:eastAsia="zh-CN"/>
        </w:rPr>
        <w:t>. 2014;22(4):284-301. doi:10.1080/13611267.2014.945739.</w:t>
      </w:r>
    </w:p>
    <w:p w14:paraId="0087F4CE" w14:textId="77777777"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eastAsia="Times New Roman" w:hAnsi="Georgia"/>
          <w:noProof/>
          <w:color w:val="535353" w:themeColor="background2"/>
          <w:sz w:val="16"/>
          <w:szCs w:val="16"/>
          <w:vertAlign w:val="superscript"/>
          <w:lang w:eastAsia="zh-CN"/>
        </w:rPr>
        <w:t xml:space="preserve">5. </w:t>
      </w:r>
      <w:r w:rsidRPr="00AE40FC">
        <w:rPr>
          <w:rFonts w:ascii="Georgia" w:eastAsia="Times New Roman" w:hAnsi="Georgia"/>
          <w:noProof/>
          <w:color w:val="535353" w:themeColor="background2"/>
          <w:sz w:val="16"/>
          <w:szCs w:val="16"/>
          <w:lang w:eastAsia="zh-CN"/>
        </w:rPr>
        <w:tab/>
        <w:t xml:space="preserve">Hart J. Dissecting a Gendered Organization: Implications for Career Trajectories for Mid-Career Faculty Women in STEM. </w:t>
      </w:r>
      <w:r w:rsidRPr="00AE40FC">
        <w:rPr>
          <w:rFonts w:ascii="Georgia" w:eastAsia="Times New Roman" w:hAnsi="Georgia"/>
          <w:i/>
          <w:iCs/>
          <w:noProof/>
          <w:color w:val="535353" w:themeColor="background2"/>
          <w:sz w:val="16"/>
          <w:szCs w:val="16"/>
          <w:lang w:eastAsia="zh-CN"/>
        </w:rPr>
        <w:t>J Higher Educ</w:t>
      </w:r>
      <w:r w:rsidRPr="00AE40FC">
        <w:rPr>
          <w:rFonts w:ascii="Georgia" w:eastAsia="Times New Roman" w:hAnsi="Georgia"/>
          <w:noProof/>
          <w:color w:val="535353" w:themeColor="background2"/>
          <w:sz w:val="16"/>
          <w:szCs w:val="16"/>
          <w:lang w:eastAsia="zh-CN"/>
        </w:rPr>
        <w:t>. 2016;87(5):605-634. http://arldocdel.iii.com/1294134.pdf. Accessed September 6, 2017.</w:t>
      </w:r>
    </w:p>
    <w:p w14:paraId="7AC732B6" w14:textId="506BBABB"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eastAsia="Times New Roman" w:hAnsi="Georgia"/>
          <w:noProof/>
          <w:color w:val="535353" w:themeColor="background2"/>
          <w:sz w:val="16"/>
          <w:szCs w:val="16"/>
          <w:vertAlign w:val="superscript"/>
          <w:lang w:eastAsia="zh-CN"/>
        </w:rPr>
        <w:t xml:space="preserve">6. </w:t>
      </w:r>
      <w:r w:rsidRPr="00AE40FC">
        <w:rPr>
          <w:rFonts w:ascii="Georgia" w:eastAsia="Times New Roman" w:hAnsi="Georgia"/>
          <w:noProof/>
          <w:color w:val="535353" w:themeColor="background2"/>
          <w:sz w:val="16"/>
          <w:szCs w:val="16"/>
          <w:lang w:eastAsia="zh-CN"/>
        </w:rPr>
        <w:tab/>
        <w:t xml:space="preserve">Carrigan C, Quinn K, Riskin EA. The </w:t>
      </w:r>
      <w:r w:rsidR="003C34CE">
        <w:rPr>
          <w:rFonts w:ascii="Georgia" w:eastAsia="Times New Roman" w:hAnsi="Georgia"/>
          <w:noProof/>
          <w:color w:val="535353" w:themeColor="background2"/>
          <w:sz w:val="16"/>
          <w:szCs w:val="16"/>
          <w:lang w:eastAsia="zh-CN"/>
        </w:rPr>
        <w:t>G</w:t>
      </w:r>
      <w:r w:rsidRPr="00AE40FC">
        <w:rPr>
          <w:rFonts w:ascii="Georgia" w:eastAsia="Times New Roman" w:hAnsi="Georgia"/>
          <w:noProof/>
          <w:color w:val="535353" w:themeColor="background2"/>
          <w:sz w:val="16"/>
          <w:szCs w:val="16"/>
          <w:lang w:eastAsia="zh-CN"/>
        </w:rPr>
        <w:t xml:space="preserve">endered </w:t>
      </w:r>
      <w:r w:rsidR="003C34CE">
        <w:rPr>
          <w:rFonts w:ascii="Georgia" w:eastAsia="Times New Roman" w:hAnsi="Georgia"/>
          <w:noProof/>
          <w:color w:val="535353" w:themeColor="background2"/>
          <w:sz w:val="16"/>
          <w:szCs w:val="16"/>
          <w:lang w:eastAsia="zh-CN"/>
        </w:rPr>
        <w:t>D</w:t>
      </w:r>
      <w:r w:rsidRPr="00AE40FC">
        <w:rPr>
          <w:rFonts w:ascii="Georgia" w:eastAsia="Times New Roman" w:hAnsi="Georgia"/>
          <w:noProof/>
          <w:color w:val="535353" w:themeColor="background2"/>
          <w:sz w:val="16"/>
          <w:szCs w:val="16"/>
          <w:lang w:eastAsia="zh-CN"/>
        </w:rPr>
        <w:t xml:space="preserve">ivision of </w:t>
      </w:r>
      <w:r w:rsidR="003C34CE">
        <w:rPr>
          <w:rFonts w:ascii="Georgia" w:eastAsia="Times New Roman" w:hAnsi="Georgia"/>
          <w:noProof/>
          <w:color w:val="535353" w:themeColor="background2"/>
          <w:sz w:val="16"/>
          <w:szCs w:val="16"/>
          <w:lang w:eastAsia="zh-CN"/>
        </w:rPr>
        <w:t>L</w:t>
      </w:r>
      <w:r w:rsidRPr="00AE40FC">
        <w:rPr>
          <w:rFonts w:ascii="Georgia" w:eastAsia="Times New Roman" w:hAnsi="Georgia"/>
          <w:noProof/>
          <w:color w:val="535353" w:themeColor="background2"/>
          <w:sz w:val="16"/>
          <w:szCs w:val="16"/>
          <w:lang w:eastAsia="zh-CN"/>
        </w:rPr>
        <w:t xml:space="preserve">abor among STEM </w:t>
      </w:r>
      <w:r w:rsidR="003C34CE">
        <w:rPr>
          <w:rFonts w:ascii="Georgia" w:eastAsia="Times New Roman" w:hAnsi="Georgia"/>
          <w:noProof/>
          <w:color w:val="535353" w:themeColor="background2"/>
          <w:sz w:val="16"/>
          <w:szCs w:val="16"/>
          <w:lang w:eastAsia="zh-CN"/>
        </w:rPr>
        <w:t>F</w:t>
      </w:r>
      <w:r w:rsidRPr="00AE40FC">
        <w:rPr>
          <w:rFonts w:ascii="Georgia" w:eastAsia="Times New Roman" w:hAnsi="Georgia"/>
          <w:noProof/>
          <w:color w:val="535353" w:themeColor="background2"/>
          <w:sz w:val="16"/>
          <w:szCs w:val="16"/>
          <w:lang w:eastAsia="zh-CN"/>
        </w:rPr>
        <w:t xml:space="preserve">aculty and the </w:t>
      </w:r>
      <w:r w:rsidR="003C34CE">
        <w:rPr>
          <w:rFonts w:ascii="Georgia" w:eastAsia="Times New Roman" w:hAnsi="Georgia"/>
          <w:noProof/>
          <w:color w:val="535353" w:themeColor="background2"/>
          <w:sz w:val="16"/>
          <w:szCs w:val="16"/>
          <w:lang w:eastAsia="zh-CN"/>
        </w:rPr>
        <w:t>E</w:t>
      </w:r>
      <w:r w:rsidRPr="00AE40FC">
        <w:rPr>
          <w:rFonts w:ascii="Georgia" w:eastAsia="Times New Roman" w:hAnsi="Georgia"/>
          <w:noProof/>
          <w:color w:val="535353" w:themeColor="background2"/>
          <w:sz w:val="16"/>
          <w:szCs w:val="16"/>
          <w:lang w:eastAsia="zh-CN"/>
        </w:rPr>
        <w:t xml:space="preserve">ffects of </w:t>
      </w:r>
      <w:r w:rsidR="003C34CE">
        <w:rPr>
          <w:rFonts w:ascii="Georgia" w:eastAsia="Times New Roman" w:hAnsi="Georgia"/>
          <w:noProof/>
          <w:color w:val="535353" w:themeColor="background2"/>
          <w:sz w:val="16"/>
          <w:szCs w:val="16"/>
          <w:lang w:eastAsia="zh-CN"/>
        </w:rPr>
        <w:t>C</w:t>
      </w:r>
      <w:r w:rsidRPr="00AE40FC">
        <w:rPr>
          <w:rFonts w:ascii="Georgia" w:eastAsia="Times New Roman" w:hAnsi="Georgia"/>
          <w:noProof/>
          <w:color w:val="535353" w:themeColor="background2"/>
          <w:sz w:val="16"/>
          <w:szCs w:val="16"/>
          <w:lang w:eastAsia="zh-CN"/>
        </w:rPr>
        <w:t xml:space="preserve">ritical </w:t>
      </w:r>
      <w:r w:rsidR="003C34CE">
        <w:rPr>
          <w:rFonts w:ascii="Georgia" w:eastAsia="Times New Roman" w:hAnsi="Georgia"/>
          <w:noProof/>
          <w:color w:val="535353" w:themeColor="background2"/>
          <w:sz w:val="16"/>
          <w:szCs w:val="16"/>
          <w:lang w:eastAsia="zh-CN"/>
        </w:rPr>
        <w:t>M</w:t>
      </w:r>
      <w:r w:rsidRPr="00AE40FC">
        <w:rPr>
          <w:rFonts w:ascii="Georgia" w:eastAsia="Times New Roman" w:hAnsi="Georgia"/>
          <w:noProof/>
          <w:color w:val="535353" w:themeColor="background2"/>
          <w:sz w:val="16"/>
          <w:szCs w:val="16"/>
          <w:lang w:eastAsia="zh-CN"/>
        </w:rPr>
        <w:t xml:space="preserve">ass. </w:t>
      </w:r>
      <w:r w:rsidRPr="00AE40FC">
        <w:rPr>
          <w:rFonts w:ascii="Georgia" w:eastAsia="Times New Roman" w:hAnsi="Georgia"/>
          <w:i/>
          <w:iCs/>
          <w:noProof/>
          <w:color w:val="535353" w:themeColor="background2"/>
          <w:sz w:val="16"/>
          <w:szCs w:val="16"/>
          <w:lang w:eastAsia="zh-CN"/>
        </w:rPr>
        <w:t>J Divers High Educ</w:t>
      </w:r>
      <w:r w:rsidRPr="00AE40FC">
        <w:rPr>
          <w:rFonts w:ascii="Georgia" w:eastAsia="Times New Roman" w:hAnsi="Georgia"/>
          <w:noProof/>
          <w:color w:val="535353" w:themeColor="background2"/>
          <w:sz w:val="16"/>
          <w:szCs w:val="16"/>
          <w:lang w:eastAsia="zh-CN"/>
        </w:rPr>
        <w:t>. 2011;4(3):131-146. doi:10.1037/a0021831.</w:t>
      </w:r>
    </w:p>
    <w:p w14:paraId="46F172F1" w14:textId="77777777" w:rsidR="00A072C2" w:rsidRPr="00AE40FC" w:rsidRDefault="00A072C2" w:rsidP="00AB4094">
      <w:pPr>
        <w:widowControl w:val="0"/>
        <w:autoSpaceDE w:val="0"/>
        <w:autoSpaceDN w:val="0"/>
        <w:adjustRightInd w:val="0"/>
        <w:ind w:left="180" w:hanging="180"/>
        <w:rPr>
          <w:rFonts w:ascii="Georgia" w:eastAsia="Times New Roman" w:hAnsi="Georgia"/>
          <w:noProof/>
          <w:color w:val="535353" w:themeColor="background2"/>
          <w:sz w:val="16"/>
          <w:szCs w:val="16"/>
          <w:lang w:eastAsia="zh-CN"/>
        </w:rPr>
      </w:pPr>
      <w:r w:rsidRPr="00AE40FC">
        <w:rPr>
          <w:rFonts w:ascii="Georgia" w:eastAsia="Times New Roman" w:hAnsi="Georgia"/>
          <w:noProof/>
          <w:color w:val="535353" w:themeColor="background2"/>
          <w:sz w:val="16"/>
          <w:szCs w:val="16"/>
          <w:vertAlign w:val="superscript"/>
          <w:lang w:eastAsia="zh-CN"/>
        </w:rPr>
        <w:t xml:space="preserve">7. </w:t>
      </w:r>
      <w:r w:rsidRPr="00AE40FC">
        <w:rPr>
          <w:rFonts w:ascii="Georgia" w:eastAsia="Times New Roman" w:hAnsi="Georgia"/>
          <w:noProof/>
          <w:color w:val="535353" w:themeColor="background2"/>
          <w:sz w:val="16"/>
          <w:szCs w:val="16"/>
          <w:lang w:eastAsia="zh-CN"/>
        </w:rPr>
        <w:tab/>
        <w:t xml:space="preserve">Sorcinelli MD, Yun J. Resource Review: From Mentor to Mentoring Networks: Mentoring in the New Academy. </w:t>
      </w:r>
      <w:r w:rsidRPr="00AE40FC">
        <w:rPr>
          <w:rFonts w:ascii="Georgia" w:eastAsia="Times New Roman" w:hAnsi="Georgia"/>
          <w:i/>
          <w:iCs/>
          <w:noProof/>
          <w:color w:val="535353" w:themeColor="background2"/>
          <w:sz w:val="16"/>
          <w:szCs w:val="16"/>
          <w:lang w:eastAsia="zh-CN"/>
        </w:rPr>
        <w:t>Change</w:t>
      </w:r>
      <w:r w:rsidRPr="00AE40FC">
        <w:rPr>
          <w:rFonts w:ascii="Georgia" w:eastAsia="Times New Roman" w:hAnsi="Georgia"/>
          <w:noProof/>
          <w:color w:val="535353" w:themeColor="background2"/>
          <w:sz w:val="16"/>
          <w:szCs w:val="16"/>
          <w:lang w:eastAsia="zh-CN"/>
        </w:rPr>
        <w:t>. 2007;39(6):58-61. http://www.jstor.org/stable/40178275. Accessed September 6, 2017.</w:t>
      </w:r>
    </w:p>
    <w:p w14:paraId="37D37279" w14:textId="08FF19D2" w:rsidR="00A072C2" w:rsidRPr="00AE40FC" w:rsidRDefault="00A072C2" w:rsidP="00AB4094">
      <w:pPr>
        <w:widowControl w:val="0"/>
        <w:autoSpaceDE w:val="0"/>
        <w:autoSpaceDN w:val="0"/>
        <w:adjustRightInd w:val="0"/>
        <w:ind w:left="180" w:hanging="180"/>
        <w:rPr>
          <w:rFonts w:ascii="Georgia" w:hAnsi="Georgia"/>
          <w:noProof/>
          <w:color w:val="535353" w:themeColor="background2"/>
          <w:sz w:val="16"/>
          <w:szCs w:val="16"/>
        </w:rPr>
      </w:pPr>
      <w:r w:rsidRPr="00AE40FC">
        <w:rPr>
          <w:rFonts w:ascii="Georgia" w:eastAsia="Times New Roman" w:hAnsi="Georgia"/>
          <w:noProof/>
          <w:color w:val="535353" w:themeColor="background2"/>
          <w:sz w:val="16"/>
          <w:szCs w:val="16"/>
          <w:vertAlign w:val="superscript"/>
          <w:lang w:eastAsia="zh-CN"/>
        </w:rPr>
        <w:t xml:space="preserve">8. </w:t>
      </w:r>
      <w:r w:rsidRPr="00AE40FC">
        <w:rPr>
          <w:rFonts w:ascii="Georgia" w:eastAsia="Times New Roman" w:hAnsi="Georgia"/>
          <w:noProof/>
          <w:color w:val="535353" w:themeColor="background2"/>
          <w:sz w:val="16"/>
          <w:szCs w:val="16"/>
          <w:lang w:eastAsia="zh-CN"/>
        </w:rPr>
        <w:tab/>
        <w:t xml:space="preserve">Laursen SL, Austin AE, Soto M, Martinez D. Advancing the </w:t>
      </w:r>
      <w:r w:rsidR="003C34CE">
        <w:rPr>
          <w:rFonts w:ascii="Georgia" w:eastAsia="Times New Roman" w:hAnsi="Georgia"/>
          <w:noProof/>
          <w:color w:val="535353" w:themeColor="background2"/>
          <w:sz w:val="16"/>
          <w:szCs w:val="16"/>
          <w:lang w:eastAsia="zh-CN"/>
        </w:rPr>
        <w:t>A</w:t>
      </w:r>
      <w:r w:rsidRPr="00AE40FC">
        <w:rPr>
          <w:rFonts w:ascii="Georgia" w:eastAsia="Times New Roman" w:hAnsi="Georgia"/>
          <w:noProof/>
          <w:color w:val="535353" w:themeColor="background2"/>
          <w:sz w:val="16"/>
          <w:szCs w:val="16"/>
          <w:lang w:eastAsia="zh-CN"/>
        </w:rPr>
        <w:t xml:space="preserve">genda for </w:t>
      </w:r>
      <w:r w:rsidR="003C34CE">
        <w:rPr>
          <w:rFonts w:ascii="Georgia" w:eastAsia="Times New Roman" w:hAnsi="Georgia"/>
          <w:noProof/>
          <w:color w:val="535353" w:themeColor="background2"/>
          <w:sz w:val="16"/>
          <w:szCs w:val="16"/>
          <w:lang w:eastAsia="zh-CN"/>
        </w:rPr>
        <w:t>G</w:t>
      </w:r>
      <w:r w:rsidRPr="00AE40FC">
        <w:rPr>
          <w:rFonts w:ascii="Georgia" w:eastAsia="Times New Roman" w:hAnsi="Georgia"/>
          <w:noProof/>
          <w:color w:val="535353" w:themeColor="background2"/>
          <w:sz w:val="16"/>
          <w:szCs w:val="16"/>
          <w:lang w:eastAsia="zh-CN"/>
        </w:rPr>
        <w:t xml:space="preserve">ender </w:t>
      </w:r>
      <w:r w:rsidR="003C34CE">
        <w:rPr>
          <w:rFonts w:ascii="Georgia" w:eastAsia="Times New Roman" w:hAnsi="Georgia"/>
          <w:noProof/>
          <w:color w:val="535353" w:themeColor="background2"/>
          <w:sz w:val="16"/>
          <w:szCs w:val="16"/>
          <w:lang w:eastAsia="zh-CN"/>
        </w:rPr>
        <w:t>E</w:t>
      </w:r>
      <w:r w:rsidRPr="00AE40FC">
        <w:rPr>
          <w:rFonts w:ascii="Georgia" w:eastAsia="Times New Roman" w:hAnsi="Georgia"/>
          <w:noProof/>
          <w:color w:val="535353" w:themeColor="background2"/>
          <w:sz w:val="16"/>
          <w:szCs w:val="16"/>
          <w:lang w:eastAsia="zh-CN"/>
        </w:rPr>
        <w:t xml:space="preserve">quity. </w:t>
      </w:r>
      <w:r w:rsidRPr="00AE40FC">
        <w:rPr>
          <w:rFonts w:ascii="Georgia" w:eastAsia="Times New Roman" w:hAnsi="Georgia"/>
          <w:i/>
          <w:iCs/>
          <w:noProof/>
          <w:color w:val="535353" w:themeColor="background2"/>
          <w:sz w:val="16"/>
          <w:szCs w:val="16"/>
          <w:lang w:eastAsia="zh-CN"/>
        </w:rPr>
        <w:t>Chang Mag High Learn</w:t>
      </w:r>
      <w:r w:rsidRPr="00AE40FC">
        <w:rPr>
          <w:rFonts w:ascii="Georgia" w:eastAsia="Times New Roman" w:hAnsi="Georgia"/>
          <w:noProof/>
          <w:color w:val="535353" w:themeColor="background2"/>
          <w:sz w:val="16"/>
          <w:szCs w:val="16"/>
          <w:lang w:eastAsia="zh-CN"/>
        </w:rPr>
        <w:t>. 2015;47(4):16-24. doi:10.1080/00091383.2015.1053767.</w:t>
      </w:r>
    </w:p>
    <w:p w14:paraId="44695BA3" w14:textId="78E1D248" w:rsidR="0077265B" w:rsidRPr="00654E7D" w:rsidRDefault="00243101" w:rsidP="00AB4094">
      <w:pPr>
        <w:widowControl w:val="0"/>
        <w:autoSpaceDE w:val="0"/>
        <w:autoSpaceDN w:val="0"/>
        <w:adjustRightInd w:val="0"/>
        <w:ind w:left="180" w:hanging="180"/>
        <w:rPr>
          <w:color w:val="535353" w:themeColor="background2"/>
          <w:sz w:val="16"/>
          <w:szCs w:val="16"/>
        </w:rPr>
      </w:pPr>
      <w:r w:rsidRPr="00AE40FC">
        <w:rPr>
          <w:rFonts w:ascii="Georgia" w:hAnsi="Georgia"/>
          <w:color w:val="535353" w:themeColor="background2"/>
          <w:sz w:val="16"/>
          <w:szCs w:val="16"/>
        </w:rPr>
        <w:fldChar w:fldCharType="end"/>
      </w:r>
    </w:p>
    <w:sectPr w:rsidR="0077265B" w:rsidRPr="00654E7D" w:rsidSect="00C606E1">
      <w:footerReference w:type="default" r:id="rId9"/>
      <w:pgSz w:w="12240" w:h="15840"/>
      <w:pgMar w:top="1440" w:right="1440" w:bottom="576"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6846" w14:textId="77777777" w:rsidR="007B5534" w:rsidRDefault="007B5534">
      <w:r>
        <w:separator/>
      </w:r>
    </w:p>
  </w:endnote>
  <w:endnote w:type="continuationSeparator" w:id="0">
    <w:p w14:paraId="5F00032F" w14:textId="77777777" w:rsidR="007B5534" w:rsidRDefault="007B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2DBF" w14:textId="77777777" w:rsidR="00125BB4" w:rsidRDefault="00125BB4"/>
  <w:tbl>
    <w:tblPr>
      <w:tblW w:w="9360" w:type="dxa"/>
      <w:tblLayout w:type="fixed"/>
      <w:tblLook w:val="0600" w:firstRow="0" w:lastRow="0" w:firstColumn="0" w:lastColumn="0" w:noHBand="1" w:noVBand="1"/>
    </w:tblPr>
    <w:tblGrid>
      <w:gridCol w:w="1185"/>
      <w:gridCol w:w="7815"/>
      <w:gridCol w:w="360"/>
    </w:tblGrid>
    <w:tr w:rsidR="00C606E1" w14:paraId="0B5F6A08" w14:textId="77777777" w:rsidTr="00324F9E">
      <w:tc>
        <w:tcPr>
          <w:tcW w:w="1185" w:type="dxa"/>
          <w:tcMar>
            <w:top w:w="100" w:type="dxa"/>
            <w:left w:w="100" w:type="dxa"/>
            <w:bottom w:w="100" w:type="dxa"/>
            <w:right w:w="100" w:type="dxa"/>
          </w:tcMar>
        </w:tcPr>
        <w:p w14:paraId="21EA6306" w14:textId="77777777" w:rsidR="00C606E1" w:rsidRDefault="00C606E1" w:rsidP="00C606E1">
          <w:r>
            <w:rPr>
              <w:noProof/>
            </w:rPr>
            <w:drawing>
              <wp:inline distT="114300" distB="114300" distL="114300" distR="114300" wp14:anchorId="66736BFA" wp14:editId="75024310">
                <wp:extent cx="619308" cy="233363"/>
                <wp:effectExtent l="0" t="0" r="0" b="0"/>
                <wp:docPr id="2" name="image01.png" descr="88x31.png"/>
                <wp:cNvGraphicFramePr/>
                <a:graphic xmlns:a="http://schemas.openxmlformats.org/drawingml/2006/main">
                  <a:graphicData uri="http://schemas.openxmlformats.org/drawingml/2006/picture">
                    <pic:pic xmlns:pic="http://schemas.openxmlformats.org/drawingml/2006/picture">
                      <pic:nvPicPr>
                        <pic:cNvPr id="0" name="image01.png" descr="88x31.png"/>
                        <pic:cNvPicPr preferRelativeResize="0"/>
                      </pic:nvPicPr>
                      <pic:blipFill>
                        <a:blip r:embed="rId1"/>
                        <a:srcRect/>
                        <a:stretch>
                          <a:fillRect/>
                        </a:stretch>
                      </pic:blipFill>
                      <pic:spPr>
                        <a:xfrm>
                          <a:off x="0" y="0"/>
                          <a:ext cx="619308" cy="233363"/>
                        </a:xfrm>
                        <a:prstGeom prst="rect">
                          <a:avLst/>
                        </a:prstGeom>
                        <a:ln/>
                      </pic:spPr>
                    </pic:pic>
                  </a:graphicData>
                </a:graphic>
              </wp:inline>
            </w:drawing>
          </w:r>
        </w:p>
      </w:tc>
      <w:tc>
        <w:tcPr>
          <w:tcW w:w="7815" w:type="dxa"/>
          <w:tcMar>
            <w:top w:w="100" w:type="dxa"/>
            <w:left w:w="100" w:type="dxa"/>
            <w:bottom w:w="100" w:type="dxa"/>
            <w:right w:w="100" w:type="dxa"/>
          </w:tcMar>
        </w:tcPr>
        <w:p w14:paraId="37E5A88F" w14:textId="556750B4" w:rsidR="00C606E1" w:rsidRDefault="00C606E1" w:rsidP="00C606E1">
          <w:pPr>
            <w:pStyle w:val="Heading5"/>
            <w:spacing w:line="264" w:lineRule="auto"/>
          </w:pPr>
          <w:bookmarkStart w:id="7" w:name="h.ytktjoqr2ima" w:colFirst="0" w:colLast="0"/>
          <w:bookmarkEnd w:id="7"/>
          <w:r>
            <w:rPr>
              <w:color w:val="5E5E5E"/>
              <w:sz w:val="18"/>
              <w:szCs w:val="18"/>
              <w:highlight w:val="white"/>
            </w:rPr>
            <w:t>This work is licensed under the Creative Commons Attribution 3.0 License, which allows you to distribute an</w:t>
          </w:r>
          <w:r>
            <w:rPr>
              <w:color w:val="5E5E5E"/>
              <w:sz w:val="18"/>
              <w:szCs w:val="18"/>
            </w:rPr>
            <w:t xml:space="preserve">d build upon our work. Please credit </w:t>
          </w:r>
          <w:proofErr w:type="spellStart"/>
          <w:r>
            <w:rPr>
              <w:color w:val="5E5E5E"/>
              <w:sz w:val="18"/>
              <w:szCs w:val="18"/>
            </w:rPr>
            <w:t>LiY</w:t>
          </w:r>
          <w:proofErr w:type="spellEnd"/>
          <w:r>
            <w:rPr>
              <w:color w:val="5E5E5E"/>
              <w:sz w:val="18"/>
              <w:szCs w:val="18"/>
            </w:rPr>
            <w:t xml:space="preserve">! when using or modifying this document. Last edited by </w:t>
          </w:r>
          <w:proofErr w:type="spellStart"/>
          <w:r>
            <w:rPr>
              <w:color w:val="5E5E5E"/>
              <w:sz w:val="18"/>
              <w:szCs w:val="18"/>
            </w:rPr>
            <w:t>LiY</w:t>
          </w:r>
          <w:proofErr w:type="spellEnd"/>
          <w:r>
            <w:rPr>
              <w:color w:val="5E5E5E"/>
              <w:sz w:val="18"/>
              <w:szCs w:val="18"/>
            </w:rPr>
            <w:t>! 9/14/2017.</w:t>
          </w:r>
        </w:p>
      </w:tc>
      <w:tc>
        <w:tcPr>
          <w:tcW w:w="360" w:type="dxa"/>
          <w:tcMar>
            <w:top w:w="100" w:type="dxa"/>
            <w:left w:w="100" w:type="dxa"/>
            <w:bottom w:w="100" w:type="dxa"/>
            <w:right w:w="100" w:type="dxa"/>
          </w:tcMar>
        </w:tcPr>
        <w:p w14:paraId="00804574" w14:textId="497D7D31" w:rsidR="00C606E1" w:rsidRDefault="00C606E1" w:rsidP="00C606E1">
          <w:pPr>
            <w:widowControl w:val="0"/>
            <w:ind w:right="-105"/>
            <w:rPr>
              <w:rFonts w:ascii="Georgia" w:hAnsi="Georgia"/>
              <w:sz w:val="22"/>
              <w:szCs w:val="22"/>
            </w:rPr>
          </w:pPr>
        </w:p>
        <w:p w14:paraId="6E388D13" w14:textId="77777777" w:rsidR="00C606E1" w:rsidRPr="00C606E1" w:rsidRDefault="00C606E1" w:rsidP="00C606E1">
          <w:pPr>
            <w:widowControl w:val="0"/>
            <w:ind w:right="-105"/>
            <w:rPr>
              <w:rFonts w:ascii="Georgia" w:hAnsi="Georgia"/>
              <w:sz w:val="22"/>
              <w:szCs w:val="22"/>
            </w:rPr>
          </w:pPr>
        </w:p>
        <w:p w14:paraId="7D3C3F90" w14:textId="0CED86D2" w:rsidR="00C606E1" w:rsidRPr="00C606E1" w:rsidRDefault="00C606E1" w:rsidP="00C606E1">
          <w:pPr>
            <w:widowControl w:val="0"/>
            <w:jc w:val="right"/>
            <w:rPr>
              <w:rFonts w:ascii="Georgia" w:hAnsi="Georgia"/>
              <w:sz w:val="22"/>
              <w:szCs w:val="22"/>
            </w:rPr>
          </w:pPr>
          <w:r w:rsidRPr="00C606E1">
            <w:rPr>
              <w:rFonts w:ascii="Georgia" w:hAnsi="Georgia"/>
              <w:sz w:val="22"/>
              <w:szCs w:val="22"/>
            </w:rPr>
            <w:fldChar w:fldCharType="begin"/>
          </w:r>
          <w:r w:rsidRPr="00C606E1">
            <w:rPr>
              <w:rFonts w:ascii="Georgia" w:hAnsi="Georgia"/>
              <w:sz w:val="22"/>
              <w:szCs w:val="22"/>
            </w:rPr>
            <w:instrText>PAGE</w:instrText>
          </w:r>
          <w:r w:rsidRPr="00C606E1">
            <w:rPr>
              <w:rFonts w:ascii="Georgia" w:hAnsi="Georgia"/>
              <w:sz w:val="22"/>
              <w:szCs w:val="22"/>
            </w:rPr>
            <w:fldChar w:fldCharType="separate"/>
          </w:r>
          <w:r w:rsidR="00125BB4">
            <w:rPr>
              <w:rFonts w:ascii="Georgia" w:hAnsi="Georgia"/>
              <w:noProof/>
              <w:sz w:val="22"/>
              <w:szCs w:val="22"/>
            </w:rPr>
            <w:t>2</w:t>
          </w:r>
          <w:r w:rsidRPr="00C606E1">
            <w:rPr>
              <w:rFonts w:ascii="Georgia" w:hAnsi="Georgia"/>
              <w:sz w:val="22"/>
              <w:szCs w:val="22"/>
            </w:rPr>
            <w:fldChar w:fldCharType="end"/>
          </w:r>
        </w:p>
      </w:tc>
    </w:tr>
  </w:tbl>
  <w:p w14:paraId="2FA50C0A" w14:textId="77777777" w:rsidR="002B09AE" w:rsidRDefault="002B09AE">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EA4D" w14:textId="77777777" w:rsidR="007B5534" w:rsidRDefault="007B5534">
      <w:r>
        <w:separator/>
      </w:r>
    </w:p>
  </w:footnote>
  <w:footnote w:type="continuationSeparator" w:id="0">
    <w:p w14:paraId="705C70F7" w14:textId="77777777" w:rsidR="007B5534" w:rsidRDefault="007B5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757"/>
    <w:multiLevelType w:val="hybridMultilevel"/>
    <w:tmpl w:val="0E16DF8C"/>
    <w:lvl w:ilvl="0" w:tplc="08FE4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1F1"/>
    <w:multiLevelType w:val="hybridMultilevel"/>
    <w:tmpl w:val="4B4A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5C2"/>
    <w:multiLevelType w:val="hybridMultilevel"/>
    <w:tmpl w:val="83F01E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D3707F8"/>
    <w:multiLevelType w:val="hybridMultilevel"/>
    <w:tmpl w:val="FE34A910"/>
    <w:numStyleLink w:val="ImportedStyle2"/>
  </w:abstractNum>
  <w:abstractNum w:abstractNumId="4" w15:restartNumberingAfterBreak="0">
    <w:nsid w:val="278844CF"/>
    <w:multiLevelType w:val="hybridMultilevel"/>
    <w:tmpl w:val="EE9E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31D2D"/>
    <w:multiLevelType w:val="hybridMultilevel"/>
    <w:tmpl w:val="FE34A910"/>
    <w:styleLink w:val="ImportedStyle2"/>
    <w:lvl w:ilvl="0" w:tplc="3DC294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F20C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4812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FE152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5043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EA6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EC40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2E65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8C8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A760AA"/>
    <w:multiLevelType w:val="hybridMultilevel"/>
    <w:tmpl w:val="50C2A3AC"/>
    <w:numStyleLink w:val="ImportedStyle1"/>
  </w:abstractNum>
  <w:abstractNum w:abstractNumId="7" w15:restartNumberingAfterBreak="0">
    <w:nsid w:val="7B0F4B8D"/>
    <w:multiLevelType w:val="hybridMultilevel"/>
    <w:tmpl w:val="50C2A3AC"/>
    <w:styleLink w:val="ImportedStyle1"/>
    <w:lvl w:ilvl="0" w:tplc="AEC2C7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0A7D88">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D668B0">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80747E">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4E3010">
      <w:start w:val="1"/>
      <w:numFmt w:val="bullet"/>
      <w:lvlText w:val="○"/>
      <w:lvlJc w:val="left"/>
      <w:pPr>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6835E0">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E4EEDC">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7286BDC">
      <w:start w:val="1"/>
      <w:numFmt w:val="bullet"/>
      <w:lvlText w:val="○"/>
      <w:lvlJc w:val="left"/>
      <w:pPr>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B43818">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5"/>
  </w:num>
  <w:num w:numId="4">
    <w:abstractNumId w:val="3"/>
  </w:num>
  <w:num w:numId="5">
    <w:abstractNumId w:val="0"/>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AE"/>
    <w:rsid w:val="000111EC"/>
    <w:rsid w:val="000549A4"/>
    <w:rsid w:val="000739DC"/>
    <w:rsid w:val="00086BF0"/>
    <w:rsid w:val="0009034D"/>
    <w:rsid w:val="000B5538"/>
    <w:rsid w:val="000E2B20"/>
    <w:rsid w:val="000F18C0"/>
    <w:rsid w:val="00123013"/>
    <w:rsid w:val="00125BB4"/>
    <w:rsid w:val="00130938"/>
    <w:rsid w:val="00134873"/>
    <w:rsid w:val="00136483"/>
    <w:rsid w:val="00154754"/>
    <w:rsid w:val="0016547F"/>
    <w:rsid w:val="00174707"/>
    <w:rsid w:val="0018340C"/>
    <w:rsid w:val="00194354"/>
    <w:rsid w:val="001A7CD6"/>
    <w:rsid w:val="00223778"/>
    <w:rsid w:val="0022487E"/>
    <w:rsid w:val="00227FB9"/>
    <w:rsid w:val="00243101"/>
    <w:rsid w:val="00246633"/>
    <w:rsid w:val="0025019C"/>
    <w:rsid w:val="00260CB1"/>
    <w:rsid w:val="002716AE"/>
    <w:rsid w:val="002826C4"/>
    <w:rsid w:val="00284009"/>
    <w:rsid w:val="002844A5"/>
    <w:rsid w:val="0029053D"/>
    <w:rsid w:val="002B09AE"/>
    <w:rsid w:val="003246A1"/>
    <w:rsid w:val="00334D73"/>
    <w:rsid w:val="00337A0A"/>
    <w:rsid w:val="003644E7"/>
    <w:rsid w:val="00377432"/>
    <w:rsid w:val="003A562D"/>
    <w:rsid w:val="003C34CE"/>
    <w:rsid w:val="003E1D93"/>
    <w:rsid w:val="003F1880"/>
    <w:rsid w:val="003F30B8"/>
    <w:rsid w:val="004C7870"/>
    <w:rsid w:val="004E4123"/>
    <w:rsid w:val="00501528"/>
    <w:rsid w:val="00520367"/>
    <w:rsid w:val="00532DC9"/>
    <w:rsid w:val="005653D6"/>
    <w:rsid w:val="005724CC"/>
    <w:rsid w:val="005808B5"/>
    <w:rsid w:val="005A71E4"/>
    <w:rsid w:val="005B5380"/>
    <w:rsid w:val="005C2D67"/>
    <w:rsid w:val="005D3768"/>
    <w:rsid w:val="00602CC9"/>
    <w:rsid w:val="00605206"/>
    <w:rsid w:val="006113B7"/>
    <w:rsid w:val="00621982"/>
    <w:rsid w:val="00654E7D"/>
    <w:rsid w:val="0065707B"/>
    <w:rsid w:val="006837E0"/>
    <w:rsid w:val="00687FFC"/>
    <w:rsid w:val="006A5C70"/>
    <w:rsid w:val="006C46A6"/>
    <w:rsid w:val="006C6284"/>
    <w:rsid w:val="00701131"/>
    <w:rsid w:val="007502A7"/>
    <w:rsid w:val="00764198"/>
    <w:rsid w:val="0077265B"/>
    <w:rsid w:val="007A7136"/>
    <w:rsid w:val="007B5534"/>
    <w:rsid w:val="007D79F4"/>
    <w:rsid w:val="007F2C9C"/>
    <w:rsid w:val="0081002B"/>
    <w:rsid w:val="00825DA5"/>
    <w:rsid w:val="00834262"/>
    <w:rsid w:val="00880F71"/>
    <w:rsid w:val="00886479"/>
    <w:rsid w:val="008A0770"/>
    <w:rsid w:val="008B5629"/>
    <w:rsid w:val="008D1DE5"/>
    <w:rsid w:val="008F6301"/>
    <w:rsid w:val="00916596"/>
    <w:rsid w:val="00931BF0"/>
    <w:rsid w:val="00937BF5"/>
    <w:rsid w:val="009E3EC7"/>
    <w:rsid w:val="009F3D68"/>
    <w:rsid w:val="009F715F"/>
    <w:rsid w:val="00A00820"/>
    <w:rsid w:val="00A072C2"/>
    <w:rsid w:val="00A460AB"/>
    <w:rsid w:val="00A47637"/>
    <w:rsid w:val="00A516C7"/>
    <w:rsid w:val="00A64EAC"/>
    <w:rsid w:val="00A70B37"/>
    <w:rsid w:val="00A72A3F"/>
    <w:rsid w:val="00AB4094"/>
    <w:rsid w:val="00AC1914"/>
    <w:rsid w:val="00AD2472"/>
    <w:rsid w:val="00AE40FC"/>
    <w:rsid w:val="00AF176C"/>
    <w:rsid w:val="00B273C9"/>
    <w:rsid w:val="00B95EF1"/>
    <w:rsid w:val="00BD2B2D"/>
    <w:rsid w:val="00BE78B5"/>
    <w:rsid w:val="00C140A6"/>
    <w:rsid w:val="00C30B76"/>
    <w:rsid w:val="00C606E1"/>
    <w:rsid w:val="00C713EA"/>
    <w:rsid w:val="00C71B92"/>
    <w:rsid w:val="00C8507E"/>
    <w:rsid w:val="00CA3658"/>
    <w:rsid w:val="00D119F0"/>
    <w:rsid w:val="00D17AF1"/>
    <w:rsid w:val="00D900D8"/>
    <w:rsid w:val="00DA39EC"/>
    <w:rsid w:val="00DC2F38"/>
    <w:rsid w:val="00E15761"/>
    <w:rsid w:val="00E221CF"/>
    <w:rsid w:val="00E34EC7"/>
    <w:rsid w:val="00E42F2C"/>
    <w:rsid w:val="00E53101"/>
    <w:rsid w:val="00EB0CB4"/>
    <w:rsid w:val="00F1080C"/>
    <w:rsid w:val="00F21C08"/>
    <w:rsid w:val="00F44AC7"/>
    <w:rsid w:val="00F75E75"/>
    <w:rsid w:val="00FA65EB"/>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4BA6"/>
  <w15:docId w15:val="{C840C534-B441-43FE-B135-0AF0A003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link w:val="Heading2Char"/>
    <w:pPr>
      <w:keepNext/>
      <w:outlineLvl w:val="1"/>
    </w:pPr>
    <w:rPr>
      <w:rFonts w:ascii="Helvetica" w:hAnsi="Helvetica" w:cs="Arial Unicode MS"/>
      <w:b/>
      <w:bCs/>
      <w:color w:val="000000"/>
      <w:sz w:val="32"/>
      <w:szCs w:val="32"/>
      <w:u w:color="000000"/>
      <w:lang w:val="nl-NL"/>
    </w:rPr>
  </w:style>
  <w:style w:type="paragraph" w:styleId="Heading4">
    <w:name w:val="heading 4"/>
    <w:next w:val="BodyA"/>
    <w:pPr>
      <w:widowControl w:val="0"/>
      <w:spacing w:before="120"/>
      <w:jc w:val="center"/>
      <w:outlineLvl w:val="3"/>
    </w:pPr>
    <w:rPr>
      <w:rFonts w:ascii="Helvetica Neue" w:eastAsia="Helvetica Neue" w:hAnsi="Helvetica Neue" w:cs="Helvetica Neue"/>
      <w:i/>
      <w:iCs/>
      <w:color w:val="9BC331"/>
      <w:sz w:val="28"/>
      <w:szCs w:val="28"/>
      <w:u w:color="9BC331"/>
    </w:rPr>
  </w:style>
  <w:style w:type="paragraph" w:styleId="Heading5">
    <w:name w:val="heading 5"/>
    <w:basedOn w:val="Normal"/>
    <w:next w:val="Normal"/>
    <w:link w:val="Heading5Char"/>
    <w:uiPriority w:val="9"/>
    <w:unhideWhenUsed/>
    <w:qFormat/>
    <w:rsid w:val="00C606E1"/>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pPr>
      <w:spacing w:line="288" w:lineRule="auto"/>
      <w:ind w:left="720"/>
    </w:pPr>
    <w:rPr>
      <w:rFonts w:ascii="Georgia" w:hAnsi="Georgia" w:cs="Arial Unicode MS"/>
      <w:color w:val="434343"/>
      <w:sz w:val="22"/>
      <w:szCs w:val="22"/>
      <w:u w:color="434343"/>
    </w:rPr>
  </w:style>
  <w:style w:type="numbering" w:customStyle="1" w:styleId="ImportedStyle2">
    <w:name w:val="Imported Style 2"/>
    <w:pPr>
      <w:numPr>
        <w:numId w:val="3"/>
      </w:numPr>
    </w:pPr>
  </w:style>
  <w:style w:type="character" w:customStyle="1" w:styleId="Hyperlink0">
    <w:name w:val="Hyperlink.0"/>
    <w:basedOn w:val="NoneA"/>
    <w:rPr>
      <w:rFonts w:ascii="Georgia" w:eastAsia="Georgia" w:hAnsi="Georgia" w:cs="Georgia"/>
      <w:color w:val="434343"/>
      <w:sz w:val="16"/>
      <w:szCs w:val="16"/>
      <w:u w:color="434343"/>
      <w:lang w:val="sv-SE"/>
    </w:rPr>
  </w:style>
  <w:style w:type="paragraph" w:styleId="BalloonText">
    <w:name w:val="Balloon Text"/>
    <w:basedOn w:val="Normal"/>
    <w:link w:val="BalloonTextChar"/>
    <w:uiPriority w:val="99"/>
    <w:semiHidden/>
    <w:unhideWhenUsed/>
    <w:rsid w:val="00834262"/>
    <w:rPr>
      <w:sz w:val="18"/>
      <w:szCs w:val="18"/>
    </w:rPr>
  </w:style>
  <w:style w:type="character" w:customStyle="1" w:styleId="BalloonTextChar">
    <w:name w:val="Balloon Text Char"/>
    <w:basedOn w:val="DefaultParagraphFont"/>
    <w:link w:val="BalloonText"/>
    <w:uiPriority w:val="99"/>
    <w:semiHidden/>
    <w:rsid w:val="00834262"/>
    <w:rPr>
      <w:sz w:val="18"/>
      <w:szCs w:val="18"/>
    </w:rPr>
  </w:style>
  <w:style w:type="character" w:styleId="CommentReference">
    <w:name w:val="annotation reference"/>
    <w:basedOn w:val="DefaultParagraphFont"/>
    <w:uiPriority w:val="99"/>
    <w:semiHidden/>
    <w:unhideWhenUsed/>
    <w:rsid w:val="00834262"/>
    <w:rPr>
      <w:sz w:val="18"/>
      <w:szCs w:val="18"/>
    </w:rPr>
  </w:style>
  <w:style w:type="paragraph" w:styleId="CommentText">
    <w:name w:val="annotation text"/>
    <w:basedOn w:val="Normal"/>
    <w:link w:val="CommentTextChar"/>
    <w:uiPriority w:val="99"/>
    <w:semiHidden/>
    <w:unhideWhenUsed/>
    <w:rsid w:val="00834262"/>
  </w:style>
  <w:style w:type="character" w:customStyle="1" w:styleId="CommentTextChar">
    <w:name w:val="Comment Text Char"/>
    <w:basedOn w:val="DefaultParagraphFont"/>
    <w:link w:val="CommentText"/>
    <w:uiPriority w:val="99"/>
    <w:semiHidden/>
    <w:rsid w:val="00834262"/>
    <w:rPr>
      <w:sz w:val="24"/>
      <w:szCs w:val="24"/>
    </w:rPr>
  </w:style>
  <w:style w:type="paragraph" w:styleId="CommentSubject">
    <w:name w:val="annotation subject"/>
    <w:basedOn w:val="CommentText"/>
    <w:next w:val="CommentText"/>
    <w:link w:val="CommentSubjectChar"/>
    <w:uiPriority w:val="99"/>
    <w:semiHidden/>
    <w:unhideWhenUsed/>
    <w:rsid w:val="00834262"/>
    <w:rPr>
      <w:b/>
      <w:bCs/>
      <w:sz w:val="20"/>
      <w:szCs w:val="20"/>
    </w:rPr>
  </w:style>
  <w:style w:type="character" w:customStyle="1" w:styleId="CommentSubjectChar">
    <w:name w:val="Comment Subject Char"/>
    <w:basedOn w:val="CommentTextChar"/>
    <w:link w:val="CommentSubject"/>
    <w:uiPriority w:val="99"/>
    <w:semiHidden/>
    <w:rsid w:val="00834262"/>
    <w:rPr>
      <w:b/>
      <w:bCs/>
      <w:sz w:val="24"/>
      <w:szCs w:val="24"/>
    </w:rPr>
  </w:style>
  <w:style w:type="character" w:customStyle="1" w:styleId="Heading2Char">
    <w:name w:val="Heading 2 Char"/>
    <w:basedOn w:val="DefaultParagraphFont"/>
    <w:link w:val="Heading2"/>
    <w:rsid w:val="00337A0A"/>
    <w:rPr>
      <w:rFonts w:ascii="Helvetica" w:hAnsi="Helvetica" w:cs="Arial Unicode MS"/>
      <w:b/>
      <w:bCs/>
      <w:color w:val="000000"/>
      <w:sz w:val="32"/>
      <w:szCs w:val="32"/>
      <w:u w:color="000000"/>
      <w:lang w:val="nl-NL"/>
    </w:rPr>
  </w:style>
  <w:style w:type="paragraph" w:styleId="NoSpacing">
    <w:name w:val="No Spacing"/>
    <w:uiPriority w:val="1"/>
    <w:qFormat/>
    <w:rsid w:val="00931BF0"/>
    <w:rPr>
      <w:sz w:val="24"/>
      <w:szCs w:val="24"/>
    </w:rPr>
  </w:style>
  <w:style w:type="paragraph" w:styleId="Subtitle">
    <w:name w:val="Subtitle"/>
    <w:basedOn w:val="Normal"/>
    <w:next w:val="Normal"/>
    <w:link w:val="SubtitleChar"/>
    <w:rsid w:val="00931BF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contextualSpacing/>
      <w:jc w:val="center"/>
    </w:pPr>
    <w:rPr>
      <w:rFonts w:ascii="Helvetica Neue" w:eastAsia="Helvetica Neue" w:hAnsi="Helvetica Neue" w:cs="Helvetica Neue"/>
      <w:color w:val="9363A8"/>
      <w:sz w:val="28"/>
      <w:szCs w:val="28"/>
      <w:bdr w:val="none" w:sz="0" w:space="0" w:color="auto"/>
    </w:rPr>
  </w:style>
  <w:style w:type="character" w:customStyle="1" w:styleId="SubtitleChar">
    <w:name w:val="Subtitle Char"/>
    <w:basedOn w:val="DefaultParagraphFont"/>
    <w:link w:val="Subtitle"/>
    <w:rsid w:val="00931BF0"/>
    <w:rPr>
      <w:rFonts w:ascii="Helvetica Neue" w:eastAsia="Helvetica Neue" w:hAnsi="Helvetica Neue" w:cs="Helvetica Neue"/>
      <w:color w:val="9363A8"/>
      <w:sz w:val="28"/>
      <w:szCs w:val="28"/>
      <w:bdr w:val="none" w:sz="0" w:space="0" w:color="auto"/>
    </w:rPr>
  </w:style>
  <w:style w:type="paragraph" w:styleId="Header">
    <w:name w:val="header"/>
    <w:basedOn w:val="Normal"/>
    <w:link w:val="HeaderChar"/>
    <w:uiPriority w:val="99"/>
    <w:unhideWhenUsed/>
    <w:rsid w:val="00C606E1"/>
    <w:pPr>
      <w:tabs>
        <w:tab w:val="center" w:pos="4680"/>
        <w:tab w:val="right" w:pos="9360"/>
      </w:tabs>
    </w:pPr>
  </w:style>
  <w:style w:type="character" w:customStyle="1" w:styleId="HeaderChar">
    <w:name w:val="Header Char"/>
    <w:basedOn w:val="DefaultParagraphFont"/>
    <w:link w:val="Header"/>
    <w:uiPriority w:val="99"/>
    <w:rsid w:val="00C606E1"/>
    <w:rPr>
      <w:sz w:val="24"/>
      <w:szCs w:val="24"/>
    </w:rPr>
  </w:style>
  <w:style w:type="paragraph" w:styleId="Footer">
    <w:name w:val="footer"/>
    <w:basedOn w:val="Normal"/>
    <w:link w:val="FooterChar"/>
    <w:uiPriority w:val="99"/>
    <w:unhideWhenUsed/>
    <w:rsid w:val="00C606E1"/>
    <w:pPr>
      <w:tabs>
        <w:tab w:val="center" w:pos="4680"/>
        <w:tab w:val="right" w:pos="9360"/>
      </w:tabs>
    </w:pPr>
  </w:style>
  <w:style w:type="character" w:customStyle="1" w:styleId="FooterChar">
    <w:name w:val="Footer Char"/>
    <w:basedOn w:val="DefaultParagraphFont"/>
    <w:link w:val="Footer"/>
    <w:uiPriority w:val="99"/>
    <w:rsid w:val="00C606E1"/>
    <w:rPr>
      <w:sz w:val="24"/>
      <w:szCs w:val="24"/>
    </w:rPr>
  </w:style>
  <w:style w:type="character" w:customStyle="1" w:styleId="Heading5Char">
    <w:name w:val="Heading 5 Char"/>
    <w:basedOn w:val="DefaultParagraphFont"/>
    <w:link w:val="Heading5"/>
    <w:uiPriority w:val="9"/>
    <w:rsid w:val="00C606E1"/>
    <w:rPr>
      <w:rFonts w:asciiTheme="majorHAnsi" w:eastAsiaTheme="majorEastAsia" w:hAnsiTheme="majorHAnsi" w:cstheme="majorBidi"/>
      <w:color w:val="2F759E"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4045">
      <w:bodyDiv w:val="1"/>
      <w:marLeft w:val="0"/>
      <w:marRight w:val="0"/>
      <w:marTop w:val="0"/>
      <w:marBottom w:val="0"/>
      <w:divBdr>
        <w:top w:val="none" w:sz="0" w:space="0" w:color="auto"/>
        <w:left w:val="none" w:sz="0" w:space="0" w:color="auto"/>
        <w:bottom w:val="none" w:sz="0" w:space="0" w:color="auto"/>
        <w:right w:val="none" w:sz="0" w:space="0" w:color="auto"/>
      </w:divBdr>
    </w:div>
    <w:div w:id="581375805">
      <w:bodyDiv w:val="1"/>
      <w:marLeft w:val="0"/>
      <w:marRight w:val="0"/>
      <w:marTop w:val="0"/>
      <w:marBottom w:val="0"/>
      <w:divBdr>
        <w:top w:val="none" w:sz="0" w:space="0" w:color="auto"/>
        <w:left w:val="none" w:sz="0" w:space="0" w:color="auto"/>
        <w:bottom w:val="none" w:sz="0" w:space="0" w:color="auto"/>
        <w:right w:val="none" w:sz="0" w:space="0" w:color="auto"/>
      </w:divBdr>
    </w:div>
    <w:div w:id="69114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lt.umich.edu/faculty/fac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DE79-623E-4F49-8ECD-75EB64A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Winter</dc:creator>
  <cp:lastModifiedBy>JOYCE W. YEN</cp:lastModifiedBy>
  <cp:revision>4</cp:revision>
  <dcterms:created xsi:type="dcterms:W3CDTF">2017-09-15T16:26:00Z</dcterms:created>
  <dcterms:modified xsi:type="dcterms:W3CDTF">2017-09-15T16:27:00Z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a5dd96b4-7708-3aeb-b516-02c597d96caf</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